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tabs>
          <w:tab w:val="clear" w:pos="1296"/>
          <w:tab w:val="center" w:pos="4908" w:leader="none"/>
          <w:tab w:val="left" w:pos="7305" w:leader="none"/>
        </w:tabs>
        <w:spacing w:lineRule="auto" w:line="240" w:before="0" w:after="0"/>
        <w:ind w:right="-178"/>
        <w:jc w:val="center"/>
        <w:rPr>
          <w:rFonts w:ascii="Times New Roman" w:hAnsi="Times New Roman" w:eastAsia="Times New Roman" w:cs="Times New Roman"/>
          <w:b/>
          <w:sz w:val="24"/>
          <w:szCs w:val="24"/>
          <w:lang w:val="en-US"/>
        </w:rPr>
      </w:pPr>
      <w:r>
        <w:rPr>
          <w:rFonts w:eastAsia="Times New Roman" w:cs="Times New Roman" w:ascii="Times New Roman" w:hAnsi="Times New Roman"/>
          <w:b/>
          <w:sz w:val="24"/>
          <w:szCs w:val="24"/>
          <w:lang w:val="en-US"/>
        </w:rPr>
      </w:r>
      <w:bookmarkStart w:id="0" w:name="_Hlk140821762"/>
      <w:bookmarkStart w:id="1" w:name="_Hlk140821762"/>
      <w:bookmarkEnd w:id="1"/>
    </w:p>
    <w:p>
      <w:pPr>
        <w:pStyle w:val="Normal"/>
        <w:tabs>
          <w:tab w:val="clear" w:pos="1296"/>
          <w:tab w:val="center" w:pos="4908" w:leader="none"/>
          <w:tab w:val="left" w:pos="7305" w:leader="none"/>
        </w:tabs>
        <w:spacing w:lineRule="auto" w:line="240" w:before="0" w:after="0"/>
        <w:ind w:right="-178"/>
        <w:jc w:val="center"/>
        <w:rPr>
          <w:lang w:val="lt-LT"/>
        </w:rPr>
      </w:pPr>
      <w:r>
        <w:rPr>
          <w:rFonts w:eastAsia="Times New Roman" w:cs="Times New Roman" w:ascii="Times New Roman" w:hAnsi="Times New Roman"/>
          <w:b/>
          <w:sz w:val="24"/>
          <w:szCs w:val="24"/>
          <w:lang w:val="lt-LT"/>
        </w:rPr>
        <w:t>REIKALAVIMAI TIEKĖJŲ KVALIFIKACIJAI</w:t>
      </w:r>
    </w:p>
    <w:p>
      <w:pPr>
        <w:pStyle w:val="Normal"/>
        <w:tabs>
          <w:tab w:val="clear" w:pos="1296"/>
          <w:tab w:val="center" w:pos="4908" w:leader="none"/>
          <w:tab w:val="left" w:pos="7305" w:leader="none"/>
        </w:tabs>
        <w:spacing w:lineRule="auto" w:line="240" w:before="0" w:after="0"/>
        <w:ind w:right="-178"/>
        <w:jc w:val="center"/>
        <w:rPr>
          <w:rFonts w:ascii="Times New Roman" w:hAnsi="Times New Roman" w:eastAsia="Times New Roman" w:cs="Times New Roman"/>
          <w:b/>
          <w:sz w:val="20"/>
          <w:szCs w:val="20"/>
          <w:lang w:val="lt-LT"/>
        </w:rPr>
      </w:pPr>
      <w:r>
        <w:rPr>
          <w:rFonts w:eastAsia="Times New Roman" w:cs="Times New Roman" w:ascii="Times New Roman" w:hAnsi="Times New Roman"/>
          <w:b/>
          <w:sz w:val="20"/>
          <w:szCs w:val="20"/>
          <w:lang w:val="lt-LT"/>
        </w:rPr>
      </w:r>
    </w:p>
    <w:p>
      <w:pPr>
        <w:pStyle w:val="ListParagraph"/>
        <w:tabs>
          <w:tab w:val="clear" w:pos="1296"/>
          <w:tab w:val="left" w:pos="709" w:leader="none"/>
        </w:tabs>
        <w:spacing w:lineRule="auto" w:line="240" w:before="0" w:after="0"/>
        <w:ind w:left="0"/>
        <w:contextualSpacing/>
        <w:jc w:val="both"/>
        <w:rPr>
          <w:lang w:val="lt-LT"/>
        </w:rPr>
      </w:pPr>
      <w:bookmarkStart w:id="2" w:name="_Hlk141199532"/>
      <w:bookmarkStart w:id="3" w:name="_Hlk140821762_Copy_1"/>
      <w:bookmarkEnd w:id="2"/>
      <w:bookmarkEnd w:id="3"/>
      <w:r>
        <w:rPr>
          <w:rFonts w:eastAsia="Times New Roman" w:cs="Times New Roman" w:ascii="Times New Roman" w:hAnsi="Times New Roman"/>
          <w:bCs/>
          <w:lang w:val="lt-LT"/>
        </w:rPr>
        <w:t>1 lentelė. Reikalavimai tiekėjui ir tiekėjo specialistams</w:t>
      </w:r>
    </w:p>
    <w:p>
      <w:pPr>
        <w:pStyle w:val="ListParagraph"/>
        <w:tabs>
          <w:tab w:val="clear" w:pos="1296"/>
          <w:tab w:val="left" w:pos="709" w:leader="none"/>
        </w:tabs>
        <w:spacing w:lineRule="auto" w:line="240" w:before="0" w:after="0"/>
        <w:ind w:left="0"/>
        <w:contextualSpacing/>
        <w:jc w:val="both"/>
        <w:rPr>
          <w:rFonts w:ascii="Times New Roman" w:hAnsi="Times New Roman" w:eastAsia="Times New Roman" w:cs="Times New Roman"/>
          <w:bCs/>
          <w:lang w:val="lt-LT"/>
        </w:rPr>
      </w:pPr>
      <w:r>
        <w:rPr>
          <w:rFonts w:eastAsia="Times New Roman" w:cs="Times New Roman" w:ascii="Times New Roman" w:hAnsi="Times New Roman"/>
          <w:bCs/>
          <w:lang w:val="lt-LT"/>
        </w:rPr>
      </w:r>
    </w:p>
    <w:tbl>
      <w:tblPr>
        <w:tblStyle w:val="TableGrid1"/>
        <w:tblW w:w="10485"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587"/>
        <w:gridCol w:w="4791"/>
        <w:gridCol w:w="5107"/>
      </w:tblGrid>
      <w:tr>
        <w:trPr>
          <w:cantSplit w:val="true"/>
        </w:trPr>
        <w:tc>
          <w:tcPr>
            <w:tcW w:w="587" w:type="dxa"/>
            <w:tcBorders/>
            <w:shd w:color="auto" w:fill="B3E5A1" w:themeFill="accent6" w:themeFillTint="66" w:val="clear"/>
          </w:tcPr>
          <w:p>
            <w:pPr>
              <w:pStyle w:val="Normal"/>
              <w:widowControl/>
              <w:suppressAutoHyphens w:val="true"/>
              <w:spacing w:lineRule="auto" w:line="240" w:before="0" w:after="0"/>
              <w:jc w:val="center"/>
              <w:rPr>
                <w:rFonts w:ascii="Calibri" w:hAnsi="Calibri" w:eastAsia="Aptos" w:cs="Times New Roman"/>
                <w:lang w:val="lt-LT" w:eastAsia="en-US" w:bidi="ar-SA"/>
              </w:rPr>
            </w:pPr>
            <w:bookmarkStart w:id="4" w:name="_Hlk141199532_Copy_1"/>
            <w:bookmarkEnd w:id="4"/>
            <w:r>
              <w:rPr>
                <w:rFonts w:eastAsia="Calibri" w:cs="Times New Roman" w:ascii="Times New Roman" w:hAnsi="Times New Roman"/>
                <w:b/>
                <w:sz w:val="24"/>
                <w:szCs w:val="24"/>
                <w:lang w:val="lt-LT" w:eastAsia="en-US" w:bidi="ar-SA"/>
              </w:rPr>
              <w:t>Eil. Nr.</w:t>
            </w:r>
          </w:p>
        </w:tc>
        <w:tc>
          <w:tcPr>
            <w:tcW w:w="4791" w:type="dxa"/>
            <w:tcBorders/>
            <w:shd w:color="auto" w:fill="B3E5A1" w:themeFill="accent6" w:themeFillTint="66" w:val="clear"/>
            <w:vAlign w:val="center"/>
          </w:tcPr>
          <w:p>
            <w:pPr>
              <w:pStyle w:val="Normal"/>
              <w:widowControl/>
              <w:suppressAutoHyphens w:val="true"/>
              <w:spacing w:lineRule="auto" w:line="240" w:before="0" w:after="0"/>
              <w:jc w:val="center"/>
              <w:rPr>
                <w:rFonts w:ascii="Calibri" w:hAnsi="Calibri" w:eastAsia="Aptos" w:cs="Times New Roman"/>
                <w:lang w:val="lt-LT" w:eastAsia="en-US" w:bidi="ar-SA"/>
              </w:rPr>
            </w:pPr>
            <w:r>
              <w:rPr>
                <w:rFonts w:eastAsia="Calibri" w:cs="Times New Roman" w:ascii="Times New Roman" w:hAnsi="Times New Roman"/>
                <w:b/>
                <w:sz w:val="24"/>
                <w:szCs w:val="24"/>
                <w:lang w:val="lt-LT" w:eastAsia="en-US" w:bidi="ar-SA"/>
              </w:rPr>
              <w:t>Reikalavimas</w:t>
            </w:r>
          </w:p>
        </w:tc>
        <w:tc>
          <w:tcPr>
            <w:tcW w:w="5107" w:type="dxa"/>
            <w:tcBorders/>
            <w:shd w:color="auto" w:fill="B3E5A1" w:themeFill="accent6" w:themeFillTint="66" w:val="clear"/>
            <w:vAlign w:val="center"/>
          </w:tcPr>
          <w:p>
            <w:pPr>
              <w:pStyle w:val="Normal"/>
              <w:widowControl/>
              <w:suppressAutoHyphens w:val="true"/>
              <w:spacing w:lineRule="auto" w:line="240" w:before="0" w:after="0"/>
              <w:jc w:val="center"/>
              <w:rPr>
                <w:rFonts w:ascii="Calibri" w:hAnsi="Calibri" w:eastAsia="Aptos" w:cs="Times New Roman"/>
                <w:lang w:val="lt-LT" w:eastAsia="en-US" w:bidi="ar-SA"/>
              </w:rPr>
            </w:pPr>
            <w:r>
              <w:rPr>
                <w:rFonts w:eastAsia="Calibri" w:cs="Times New Roman" w:ascii="Times New Roman" w:hAnsi="Times New Roman"/>
                <w:b/>
                <w:sz w:val="24"/>
                <w:szCs w:val="24"/>
                <w:lang w:val="lt-LT" w:eastAsia="en-US" w:bidi="ar-SA"/>
              </w:rPr>
              <w:t>Atitiktį reikalavimui įrodantys dokumentai</w:t>
            </w:r>
          </w:p>
        </w:tc>
      </w:tr>
      <w:tr>
        <w:trPr/>
        <w:tc>
          <w:tcPr>
            <w:tcW w:w="587" w:type="dxa"/>
            <w:tcBorders/>
          </w:tcPr>
          <w:p>
            <w:pPr>
              <w:pStyle w:val="Normal"/>
              <w:widowControl/>
              <w:suppressAutoHyphens w:val="true"/>
              <w:spacing w:lineRule="auto" w:line="240" w:before="0" w:after="0"/>
              <w:jc w:val="both"/>
              <w:rPr>
                <w:rFonts w:ascii="Arial" w:hAnsi="Arial"/>
                <w:sz w:val="22"/>
                <w:szCs w:val="22"/>
              </w:rPr>
            </w:pPr>
            <w:r>
              <w:rPr>
                <w:rFonts w:eastAsia="Calibri" w:cs="Times New Roman" w:ascii="Arial" w:hAnsi="Arial"/>
                <w:sz w:val="22"/>
                <w:szCs w:val="22"/>
                <w:lang w:val="lt-LT" w:eastAsia="en-US" w:bidi="ar-SA"/>
              </w:rPr>
              <w:t>1.</w:t>
            </w:r>
          </w:p>
        </w:tc>
        <w:tc>
          <w:tcPr>
            <w:tcW w:w="4791" w:type="dxa"/>
            <w:tcBorders/>
          </w:tcPr>
          <w:p>
            <w:pPr>
              <w:pStyle w:val="Normal"/>
              <w:widowControl/>
              <w:suppressAutoHyphens w:val="true"/>
              <w:spacing w:lineRule="auto" w:line="240" w:before="0" w:after="0"/>
              <w:jc w:val="both"/>
              <w:rPr>
                <w:rFonts w:ascii="Arial" w:hAnsi="Arial"/>
                <w:sz w:val="22"/>
                <w:szCs w:val="22"/>
              </w:rPr>
            </w:pPr>
            <w:r>
              <w:rPr>
                <w:rFonts w:eastAsia="Aptos" w:cs="Times New Roman" w:ascii="Arial" w:hAnsi="Arial"/>
                <w:bCs/>
                <w:color w:themeColor="text1" w:val="000000"/>
                <w:sz w:val="22"/>
                <w:szCs w:val="22"/>
                <w:lang w:val="lt-LT" w:eastAsia="lt-LT" w:bidi="ar-SA"/>
              </w:rPr>
              <w:t>Tiekėjas per paskutinius 3 (trejus) metus arba per laiką nuo tiekėjo įregistravimo dienos (jeigu tiekėjas vykdė veiklą mažiau nei 3 metus) iki pasiūlymo pateikimo termino pabaigos yra įvykdęs arba vykdo ne mažiau kaip 1 (vieną) ar kelias sutartis, kurių vykdymo metu buvo/yra teikiamos informacinių sistemų kūrimo, diegimo, vystymo, modifikavimo ir (ar) priežiūros paslaugos, kurių bendra vertė yra ne mažesnė kaip 30 000 Eur be PVM.</w:t>
            </w:r>
          </w:p>
        </w:tc>
        <w:tc>
          <w:tcPr>
            <w:tcW w:w="5107" w:type="dxa"/>
            <w:tcBorders/>
          </w:tcPr>
          <w:p>
            <w:pPr>
              <w:pStyle w:val="Normal"/>
              <w:widowControl/>
              <w:tabs>
                <w:tab w:val="clear" w:pos="1296"/>
                <w:tab w:val="left" w:pos="174" w:leader="none"/>
              </w:tabs>
              <w:suppressAutoHyphens w:val="true"/>
              <w:spacing w:lineRule="auto" w:line="240" w:before="0" w:after="200"/>
              <w:contextualSpacing/>
              <w:jc w:val="both"/>
              <w:rPr>
                <w:rFonts w:ascii="Arial" w:hAnsi="Arial"/>
                <w:sz w:val="22"/>
                <w:szCs w:val="22"/>
              </w:rPr>
            </w:pPr>
            <w:r>
              <w:rPr>
                <w:rFonts w:eastAsia="Aptos" w:cs="Times New Roman" w:ascii="Arial" w:hAnsi="Arial"/>
                <w:bCs/>
                <w:color w:val="000000"/>
                <w:sz w:val="22"/>
                <w:szCs w:val="22"/>
                <w:lang w:val="lt-LT" w:eastAsia="lt-LT" w:bidi="ar-SA"/>
              </w:rPr>
              <w:t xml:space="preserve">Pagrindinių per paskutinius 3 metus arba per laiką nuo tiekėjo įregistravimo dienos (jei tiekėjas vykdo veiklą mažiau nei 3 metus) įvykdytų arba vykdomų sutarčių sąrašas teikiamas užpildant Specialiųjų sąlygų </w:t>
            </w:r>
            <w:r>
              <w:rPr>
                <w:rFonts w:eastAsia="Aptos" w:cs="Times New Roman" w:ascii="Arial" w:hAnsi="Arial"/>
                <w:bCs/>
                <w:color w:val="000000"/>
                <w:sz w:val="22"/>
                <w:szCs w:val="22"/>
                <w:shd w:fill="C2D69B" w:val="clear"/>
                <w:lang w:val="lt-LT" w:eastAsia="lt-LT" w:bidi="ar-SA"/>
              </w:rPr>
              <w:t xml:space="preserve">9 priedo „Tiekėjo įvykdytų ir (arba) vykdomų sutarčių sąrašas“ </w:t>
            </w:r>
            <w:r>
              <w:rPr>
                <w:rFonts w:eastAsia="Aptos" w:cs="Times New Roman" w:ascii="Arial" w:hAnsi="Arial"/>
                <w:bCs/>
                <w:color w:val="000000"/>
                <w:sz w:val="22"/>
                <w:szCs w:val="22"/>
                <w:lang w:val="lt-LT" w:eastAsia="lt-LT" w:bidi="ar-SA"/>
              </w:rPr>
              <w:t>formą.</w:t>
            </w:r>
          </w:p>
          <w:p>
            <w:pPr>
              <w:pStyle w:val="Normal"/>
              <w:keepNext w:val="true"/>
              <w:widowControl w:val="false"/>
              <w:tabs>
                <w:tab w:val="clear" w:pos="1296"/>
                <w:tab w:val="left" w:pos="1080" w:leader="none"/>
              </w:tabs>
              <w:suppressAutoHyphens w:val="true"/>
              <w:spacing w:lineRule="auto" w:line="240" w:before="0" w:after="0"/>
              <w:ind w:right="-1"/>
              <w:jc w:val="both"/>
              <w:rPr>
                <w:rFonts w:ascii="Arial" w:hAnsi="Arial"/>
                <w:sz w:val="22"/>
                <w:szCs w:val="22"/>
              </w:rPr>
            </w:pPr>
            <w:r>
              <w:rPr>
                <w:rFonts w:eastAsia="Aptos" w:cs="Times New Roman" w:ascii="Arial" w:hAnsi="Arial"/>
                <w:bCs/>
                <w:color w:val="000000"/>
                <w:sz w:val="22"/>
                <w:szCs w:val="22"/>
                <w:lang w:val="lt-LT" w:eastAsia="lt-LT" w:bidi="ar-SA"/>
              </w:rPr>
              <w:t>Pateikti užsakovo pažymą (patvirtintą užsakovo arba jo įgalioto asmens parašu ir įmonės antspaudu (jei turi), patvirtinančią, kad sutartiniai įsipareigojimai įvykdyti tinkamai, nurodant sutarties (jos dalies) objektą, sutarties (jos dalies) pradžios ir pabaigos datą (metai ir mėnuo), užsakovo kontaktinį asmenį (vardas, pavardė, pareigos, tel. Nr.), arba pasirašyto paslaugų priėmimo – perdavimo akto patvirtintą kopiją, o jų nesant – tiekėjo deklaraciją ar kitą lygiavertį dokumentą. Perkančioji organizacija, siekdama patikslinti pateiktą informaciją, pasilieka teisę be išankstinio įspėjimo susisiekti su nurodytu užsakovu.</w:t>
            </w:r>
          </w:p>
          <w:p>
            <w:pPr>
              <w:pStyle w:val="Normal"/>
              <w:widowControl w:val="false"/>
              <w:tabs>
                <w:tab w:val="clear" w:pos="1296"/>
                <w:tab w:val="left" w:pos="1080" w:leader="none"/>
              </w:tabs>
              <w:suppressAutoHyphens w:val="true"/>
              <w:spacing w:lineRule="auto" w:line="240" w:before="0" w:after="0"/>
              <w:ind w:right="-1"/>
              <w:jc w:val="both"/>
              <w:rPr>
                <w:rFonts w:ascii="Arial" w:hAnsi="Arial" w:eastAsia="Aptos" w:cs="Times New Roman"/>
                <w:sz w:val="22"/>
                <w:szCs w:val="22"/>
                <w:lang w:val="lt-LT" w:eastAsia="en-US" w:bidi="ar-SA"/>
              </w:rPr>
            </w:pPr>
            <w:r>
              <w:rPr>
                <w:rFonts w:eastAsia="Aptos" w:cs="Times New Roman" w:ascii="Arial" w:hAnsi="Arial"/>
                <w:sz w:val="22"/>
                <w:szCs w:val="22"/>
                <w:lang w:val="lt-LT" w:eastAsia="en-US" w:bidi="ar-SA"/>
              </w:rPr>
            </w:r>
          </w:p>
          <w:p>
            <w:pPr>
              <w:pStyle w:val="Normal"/>
              <w:widowControl w:val="false"/>
              <w:tabs>
                <w:tab w:val="clear" w:pos="1296"/>
                <w:tab w:val="left" w:pos="1080" w:leader="none"/>
              </w:tabs>
              <w:suppressAutoHyphens w:val="true"/>
              <w:spacing w:lineRule="auto" w:line="240" w:before="0" w:after="0"/>
              <w:ind w:right="-1"/>
              <w:jc w:val="both"/>
              <w:rPr>
                <w:rFonts w:ascii="Arial" w:hAnsi="Arial"/>
                <w:sz w:val="22"/>
                <w:szCs w:val="22"/>
              </w:rPr>
            </w:pPr>
            <w:r>
              <w:rPr>
                <w:rFonts w:eastAsia="Aptos" w:cs="Times New Roman" w:ascii="Arial" w:hAnsi="Arial"/>
                <w:b/>
                <w:bCs/>
                <w:color w:val="000000"/>
                <w:sz w:val="22"/>
                <w:szCs w:val="22"/>
                <w:lang w:val="lt-LT" w:eastAsia="en-US" w:bidi="ar-SA"/>
              </w:rPr>
              <w:t>Pastabos:</w:t>
            </w:r>
          </w:p>
          <w:p>
            <w:pPr>
              <w:pStyle w:val="Normal"/>
              <w:widowControl w:val="false"/>
              <w:tabs>
                <w:tab w:val="clear" w:pos="1296"/>
                <w:tab w:val="left" w:pos="1080" w:leader="none"/>
              </w:tabs>
              <w:suppressAutoHyphens w:val="true"/>
              <w:spacing w:lineRule="auto" w:line="240" w:before="0" w:after="0"/>
              <w:ind w:right="-1"/>
              <w:jc w:val="both"/>
              <w:rPr>
                <w:rFonts w:ascii="Arial" w:hAnsi="Arial"/>
                <w:sz w:val="22"/>
                <w:szCs w:val="22"/>
              </w:rPr>
            </w:pPr>
            <w:r>
              <w:rPr>
                <w:rFonts w:eastAsia="Aptos" w:cs="Times New Roman" w:ascii="Arial" w:hAnsi="Arial"/>
                <w:bCs/>
                <w:color w:val="000000"/>
                <w:sz w:val="22"/>
                <w:szCs w:val="22"/>
                <w:lang w:val="lt-LT" w:eastAsia="en-US" w:bidi="ar-SA"/>
              </w:rPr>
              <w:t>1) Kvazisubtiekėjas – specialistas, kurio kvalifikacija tiekėjas remiasi, ir kuris pasiūlymo teikimo metu dar nėra tiekėjo, ūkio subjekto, kurio pajėgumais Tiekėjas remiasi, darbuotojas, tačiau jį ketinama įdarbinti, jei pasiūlymas bus pripažintas laimėjusiu, turi būti išviešinami pasiūlymo formoje (Specialiųjų sąlygų 2 priedas „Pasiūlymo forma“).</w:t>
            </w:r>
          </w:p>
          <w:p>
            <w:pPr>
              <w:pStyle w:val="Normal"/>
              <w:widowControl w:val="false"/>
              <w:tabs>
                <w:tab w:val="clear" w:pos="1296"/>
                <w:tab w:val="left" w:pos="1080" w:leader="none"/>
              </w:tabs>
              <w:suppressAutoHyphens w:val="true"/>
              <w:spacing w:lineRule="auto" w:line="240" w:before="0" w:after="0"/>
              <w:ind w:right="-1"/>
              <w:jc w:val="both"/>
              <w:rPr>
                <w:rFonts w:ascii="Arial" w:hAnsi="Arial"/>
                <w:sz w:val="22"/>
                <w:szCs w:val="22"/>
              </w:rPr>
            </w:pPr>
            <w:r>
              <w:rPr>
                <w:rFonts w:eastAsia="Aptos" w:cs="Times New Roman" w:ascii="Arial" w:hAnsi="Arial"/>
                <w:bCs/>
                <w:color w:val="000000"/>
                <w:sz w:val="22"/>
                <w:szCs w:val="22"/>
                <w:lang w:val="lt-LT" w:eastAsia="en-US" w:bidi="ar-SA"/>
              </w:rPr>
              <w:t>2) jeigu pasiūlymą teikia ūkio subjektų grupė – reikalavimą turi atitikti ūkio subjektų grupės nario (-ių) specialistai, atsižvelgiant į jų prisiimamus įsipareigojimus pirkimo sutarčiai vykdyti;</w:t>
            </w:r>
          </w:p>
          <w:p>
            <w:pPr>
              <w:pStyle w:val="Normal"/>
              <w:widowControl w:val="false"/>
              <w:tabs>
                <w:tab w:val="clear" w:pos="1296"/>
                <w:tab w:val="left" w:pos="1080" w:leader="none"/>
              </w:tabs>
              <w:suppressAutoHyphens w:val="true"/>
              <w:spacing w:lineRule="auto" w:line="240" w:before="0" w:after="0"/>
              <w:ind w:right="-1"/>
              <w:jc w:val="both"/>
              <w:rPr>
                <w:rFonts w:ascii="Arial" w:hAnsi="Arial"/>
                <w:sz w:val="22"/>
                <w:szCs w:val="22"/>
              </w:rPr>
            </w:pPr>
            <w:r>
              <w:rPr>
                <w:rFonts w:eastAsia="Aptos" w:cs="Times New Roman" w:ascii="Arial" w:hAnsi="Arial"/>
                <w:bCs/>
                <w:color w:val="000000"/>
                <w:sz w:val="22"/>
                <w:szCs w:val="22"/>
                <w:lang w:val="lt-LT" w:eastAsia="en-US" w:bidi="ar-SA"/>
              </w:rPr>
              <w:t>3) Tiekėjas gali remtis kitų ūkio subjektų pajėgumais tik tuo atveju, jeigu tie subjektai (jų darbuotojai) patys vykdys tą pirkimo sutarties dalį, kuriai reikia jų turimų pajėgumų;</w:t>
            </w:r>
          </w:p>
          <w:p>
            <w:pPr>
              <w:pStyle w:val="Normal"/>
              <w:widowControl w:val="false"/>
              <w:tabs>
                <w:tab w:val="clear" w:pos="1296"/>
                <w:tab w:val="left" w:pos="1080" w:leader="none"/>
              </w:tabs>
              <w:suppressAutoHyphens w:val="true"/>
              <w:spacing w:lineRule="auto" w:line="240" w:before="0" w:after="0"/>
              <w:ind w:right="-1"/>
              <w:jc w:val="both"/>
              <w:rPr>
                <w:rFonts w:ascii="Arial" w:hAnsi="Arial"/>
                <w:sz w:val="22"/>
                <w:szCs w:val="22"/>
              </w:rPr>
            </w:pPr>
            <w:r>
              <w:rPr>
                <w:rFonts w:eastAsia="Aptos" w:cs="Times New Roman" w:ascii="Arial" w:hAnsi="Arial"/>
                <w:bCs/>
                <w:color w:val="000000"/>
                <w:sz w:val="22"/>
                <w:szCs w:val="22"/>
                <w:lang w:val="lt-LT" w:eastAsia="en-US" w:bidi="ar-SA"/>
              </w:rPr>
              <w:t>4)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trPr/>
        <w:tc>
          <w:tcPr>
            <w:tcW w:w="587" w:type="dxa"/>
            <w:tcBorders/>
          </w:tcPr>
          <w:p>
            <w:pPr>
              <w:pStyle w:val="Normal"/>
              <w:widowControl/>
              <w:suppressAutoHyphens w:val="true"/>
              <w:spacing w:lineRule="auto" w:line="240" w:before="0" w:after="0"/>
              <w:jc w:val="both"/>
              <w:rPr>
                <w:rFonts w:ascii="Arial" w:hAnsi="Arial"/>
                <w:sz w:val="22"/>
                <w:szCs w:val="22"/>
              </w:rPr>
            </w:pPr>
            <w:r>
              <w:rPr>
                <w:rFonts w:eastAsia="Calibri" w:cs="Times New Roman" w:ascii="Arial" w:hAnsi="Arial"/>
                <w:sz w:val="22"/>
                <w:szCs w:val="22"/>
                <w:lang w:val="lt-LT" w:eastAsia="en-US" w:bidi="ar-SA"/>
              </w:rPr>
              <w:t>2.</w:t>
            </w:r>
          </w:p>
        </w:tc>
        <w:tc>
          <w:tcPr>
            <w:tcW w:w="4791" w:type="dxa"/>
            <w:tcBorders/>
          </w:tcPr>
          <w:p>
            <w:pPr>
              <w:pStyle w:val="Normal"/>
              <w:widowControl/>
              <w:suppressAutoHyphens w:val="true"/>
              <w:spacing w:lineRule="auto" w:line="240" w:before="0" w:after="0"/>
              <w:jc w:val="both"/>
              <w:rPr>
                <w:rFonts w:ascii="Arial" w:hAnsi="Arial"/>
                <w:sz w:val="22"/>
                <w:szCs w:val="22"/>
              </w:rPr>
            </w:pPr>
            <w:r>
              <w:rPr>
                <w:rFonts w:eastAsia="Aptos" w:cs="Times New Roman" w:ascii="Arial" w:hAnsi="Arial"/>
                <w:bCs/>
                <w:color w:themeColor="text1" w:val="000000"/>
                <w:sz w:val="22"/>
                <w:szCs w:val="22"/>
                <w:lang w:val="lt-LT" w:eastAsia="en-US" w:bidi="ar-SA"/>
              </w:rPr>
              <w:t>Projektų vadovas</w:t>
            </w:r>
          </w:p>
          <w:p>
            <w:pPr>
              <w:pStyle w:val="Normal"/>
              <w:widowControl/>
              <w:suppressAutoHyphens w:val="true"/>
              <w:spacing w:lineRule="auto" w:line="240" w:before="0" w:after="0"/>
              <w:jc w:val="both"/>
              <w:rPr>
                <w:rFonts w:ascii="Arial" w:hAnsi="Arial" w:eastAsia="Aptos" w:cs="Times New Roman"/>
                <w:bCs/>
                <w:color w:themeColor="text1" w:val="000000"/>
                <w:sz w:val="22"/>
                <w:szCs w:val="22"/>
                <w:lang w:val="lt-LT" w:eastAsia="en-US" w:bidi="ar-SA"/>
              </w:rPr>
            </w:pPr>
            <w:r>
              <w:rPr>
                <w:rFonts w:eastAsia="Aptos" w:cs="Times New Roman" w:ascii="Arial" w:hAnsi="Arial"/>
                <w:bCs/>
                <w:color w:themeColor="text1" w:val="000000"/>
                <w:sz w:val="22"/>
                <w:szCs w:val="22"/>
                <w:lang w:val="lt-LT" w:eastAsia="en-US" w:bidi="ar-SA"/>
              </w:rPr>
            </w:r>
          </w:p>
          <w:p>
            <w:pPr>
              <w:pStyle w:val="Normal"/>
              <w:widowControl/>
              <w:suppressAutoHyphens w:val="true"/>
              <w:spacing w:lineRule="auto" w:line="240" w:before="0" w:after="0"/>
              <w:jc w:val="both"/>
              <w:rPr>
                <w:rFonts w:ascii="Arial" w:hAnsi="Arial"/>
                <w:sz w:val="22"/>
                <w:szCs w:val="22"/>
              </w:rPr>
            </w:pPr>
            <w:r>
              <w:rPr>
                <w:rFonts w:eastAsia="Aptos" w:cs="Times New Roman" w:ascii="Arial" w:hAnsi="Arial"/>
                <w:bCs/>
                <w:color w:themeColor="text1" w:val="000000"/>
                <w:sz w:val="22"/>
                <w:szCs w:val="22"/>
                <w:lang w:val="lt-LT" w:eastAsia="en-US" w:bidi="ar-SA"/>
              </w:rPr>
              <w:t xml:space="preserve">2.1. Turi turėti </w:t>
            </w:r>
            <w:r>
              <w:rPr>
                <w:rFonts w:eastAsia="Calibri" w:cs="Times New Roman" w:ascii="Arial" w:hAnsi="Arial"/>
                <w:sz w:val="22"/>
                <w:szCs w:val="22"/>
                <w:lang w:val="lt-LT" w:eastAsia="en-US" w:bidi="ar-SA"/>
              </w:rPr>
              <w:t>tarptautiniu mastu pripažįstamą projektų vadovo kvalifikaciją (</w:t>
            </w:r>
            <w:r>
              <w:rPr>
                <w:rFonts w:eastAsia="Aptos" w:cs="Times New Roman" w:ascii="Arial" w:hAnsi="Arial"/>
                <w:sz w:val="22"/>
                <w:szCs w:val="22"/>
                <w:lang w:val="lt-LT" w:eastAsia="en-US" w:bidi="ar-SA"/>
              </w:rPr>
              <w:t>pvz., PMP, CompTIA Project+, Prince2, ICAgile sertifikuotas profesionalas (ICP), PMI-Agile sertifikuoto profesionalo (PMI-ACP), Sertifikuoto Scrum meistro (CSM) ar lygiavertis</w:t>
            </w:r>
          </w:p>
        </w:tc>
        <w:tc>
          <w:tcPr>
            <w:tcW w:w="5107" w:type="dxa"/>
            <w:tcBorders/>
          </w:tcPr>
          <w:p>
            <w:pPr>
              <w:pStyle w:val="Normal"/>
              <w:widowControl/>
              <w:suppressAutoHyphens w:val="true"/>
              <w:spacing w:lineRule="auto" w:line="240" w:before="0" w:after="0"/>
              <w:jc w:val="both"/>
              <w:rPr>
                <w:rFonts w:ascii="Arial" w:hAnsi="Arial"/>
                <w:sz w:val="22"/>
                <w:szCs w:val="22"/>
              </w:rPr>
            </w:pPr>
            <w:r>
              <w:rPr>
                <w:rFonts w:eastAsia="Calibri" w:cs="Times New Roman" w:ascii="Arial" w:hAnsi="Arial"/>
                <w:sz w:val="22"/>
                <w:szCs w:val="22"/>
                <w:lang w:val="lt-LT" w:eastAsia="en-US" w:bidi="ar-SA"/>
              </w:rPr>
              <w:t>Perkančiajai organizacijai paprašius teikia kvalifikaciją įrodantį galiojantį sertifikatą / dokumentą</w:t>
            </w:r>
          </w:p>
          <w:p>
            <w:pPr>
              <w:pStyle w:val="Normal"/>
              <w:widowControl/>
              <w:suppressAutoHyphens w:val="true"/>
              <w:spacing w:lineRule="auto" w:line="240" w:before="0" w:after="0"/>
              <w:jc w:val="both"/>
              <w:rPr>
                <w:rFonts w:ascii="Arial" w:hAnsi="Arial"/>
                <w:sz w:val="22"/>
                <w:szCs w:val="22"/>
              </w:rPr>
            </w:pPr>
            <w:r>
              <w:rPr>
                <w:rFonts w:ascii="Arial" w:hAnsi="Arial"/>
                <w:sz w:val="22"/>
                <w:szCs w:val="22"/>
              </w:rPr>
            </w:r>
          </w:p>
          <w:p>
            <w:pPr>
              <w:pStyle w:val="Normal"/>
              <w:widowControl/>
              <w:spacing w:lineRule="auto" w:line="240" w:before="0" w:after="0"/>
              <w:jc w:val="left"/>
              <w:rPr>
                <w:rFonts w:ascii="Arial" w:hAnsi="Arial" w:eastAsia="Aptos" w:cs=""/>
                <w:kern w:val="2"/>
                <w:sz w:val="22"/>
                <w:szCs w:val="22"/>
                <w:lang w:val="lt-LT" w:eastAsia="en-US" w:bidi="ar-SA"/>
              </w:rPr>
            </w:pPr>
            <w:r>
              <w:rPr>
                <w:rFonts w:eastAsia="Aptos" w:cs="Arial" w:ascii="Arial" w:hAnsi="Arial"/>
                <w:b/>
                <w:bCs/>
                <w:kern w:val="2"/>
                <w:sz w:val="22"/>
                <w:szCs w:val="22"/>
                <w:lang w:val="lt-LT" w:eastAsia="en-US" w:bidi="ar-SA"/>
              </w:rPr>
              <w:t>Pastabos:</w:t>
            </w:r>
          </w:p>
          <w:p>
            <w:pPr>
              <w:pStyle w:val="Normal"/>
              <w:widowControl/>
              <w:spacing w:lineRule="auto" w:line="240" w:before="0" w:after="0"/>
              <w:jc w:val="both"/>
              <w:rPr>
                <w:rFonts w:ascii="Arial" w:hAnsi="Arial" w:eastAsia="Aptos" w:cs=""/>
                <w:kern w:val="2"/>
                <w:sz w:val="22"/>
                <w:szCs w:val="22"/>
                <w:lang w:val="lt-LT" w:eastAsia="en-US" w:bidi="ar-SA"/>
              </w:rPr>
            </w:pPr>
            <w:r>
              <w:rPr>
                <w:rFonts w:eastAsia="Aptos" w:cs="Arial" w:ascii="Arial" w:hAnsi="Arial"/>
                <w:kern w:val="2"/>
                <w:sz w:val="22"/>
                <w:szCs w:val="22"/>
                <w:lang w:val="lt-LT" w:eastAsia="en-US" w:bidi="ar-SA"/>
              </w:rPr>
              <w:t xml:space="preserve">1) Kvazisubtiekėjas – specialistas, kurio kvalifikacija tiekėjas remiasi, ir kuris pasiūlymo teikimo metu dar nėra tiekėjo, ūkio subjekto, kurio pajėgumais Tiekėjas remiasi, darbuotojas, tačiau jį ketinama įdarbinti, jei pasiūlymas bus pripažintas laimėjusiu, turi būti išviešinami pasiūlymo formoje </w:t>
            </w:r>
            <w:r>
              <w:rPr>
                <w:rFonts w:eastAsia="Aptos" w:cs="Arial" w:ascii="Arial" w:hAnsi="Arial"/>
                <w:kern w:val="2"/>
                <w:sz w:val="22"/>
                <w:szCs w:val="22"/>
                <w:shd w:fill="C2D69B" w:val="clear"/>
                <w:lang w:val="lt-LT" w:eastAsia="en-US" w:bidi="ar-SA"/>
                <w14:ligatures w14:val="none"/>
              </w:rPr>
              <w:t>(Specialiųjų sąlygų 2 priedas „Pasiūlymo forma“).</w:t>
            </w:r>
          </w:p>
          <w:p>
            <w:pPr>
              <w:pStyle w:val="Normal"/>
              <w:widowControl/>
              <w:spacing w:lineRule="auto" w:line="240" w:before="0" w:after="120"/>
              <w:jc w:val="both"/>
              <w:rPr>
                <w:rFonts w:ascii="Arial" w:hAnsi="Arial" w:eastAsia="Aptos" w:cs=""/>
                <w:kern w:val="2"/>
                <w:sz w:val="22"/>
                <w:szCs w:val="22"/>
                <w:lang w:val="lt-LT" w:eastAsia="en-US" w:bidi="ar-SA"/>
              </w:rPr>
            </w:pPr>
            <w:r>
              <w:rPr>
                <w:rFonts w:eastAsia="Aptos" w:cs="Arial" w:ascii="Arial" w:hAnsi="Arial"/>
                <w:kern w:val="2"/>
                <w:sz w:val="22"/>
                <w:szCs w:val="22"/>
                <w:lang w:val="lt-LT" w:eastAsia="en-US" w:bidi="ar-SA"/>
              </w:rPr>
              <w:t>2) jeigu pasiūlymą teikia ūkio subjektų grupė – reikalavimą turi atitikti ūkio subjektų grupės nario (-ių) specialistai, atsižvelgiant į jų prisiimamus įsipareigojimus pirkimo sutarčiai vykdyti;</w:t>
            </w:r>
          </w:p>
          <w:p>
            <w:pPr>
              <w:pStyle w:val="Normal"/>
              <w:widowControl/>
              <w:spacing w:lineRule="auto" w:line="240" w:before="0" w:after="120"/>
              <w:jc w:val="both"/>
              <w:rPr>
                <w:rFonts w:ascii="Arial" w:hAnsi="Arial" w:eastAsia="Aptos" w:cs=""/>
                <w:kern w:val="2"/>
                <w:sz w:val="22"/>
                <w:szCs w:val="22"/>
                <w:lang w:val="lt-LT" w:eastAsia="en-US" w:bidi="ar-SA"/>
              </w:rPr>
            </w:pPr>
            <w:r>
              <w:rPr>
                <w:rFonts w:eastAsia="Aptos" w:cs="Arial" w:ascii="Arial" w:hAnsi="Arial"/>
                <w:kern w:val="2"/>
                <w:sz w:val="22"/>
                <w:szCs w:val="22"/>
                <w:lang w:val="lt-LT" w:eastAsia="en-US" w:bidi="ar-SA"/>
              </w:rPr>
              <w:t>3) Tiekėjas gali remtis kitų ūkio subjektų pajėgumais tik tuo atveju, jeigu tie subjektai (jų darbuotojai) patys vykdys tą pirkimo sutarties dalį, kuriai reikia jų turimų pajėgumų;</w:t>
            </w:r>
          </w:p>
          <w:p>
            <w:pPr>
              <w:pStyle w:val="Normal"/>
              <w:widowControl/>
              <w:spacing w:lineRule="auto" w:line="240" w:before="0" w:after="120"/>
              <w:jc w:val="both"/>
              <w:rPr>
                <w:rFonts w:ascii="Arial" w:hAnsi="Arial" w:eastAsia="Aptos" w:cs=""/>
                <w:kern w:val="2"/>
                <w:sz w:val="22"/>
                <w:szCs w:val="22"/>
                <w:lang w:val="lt-LT" w:eastAsia="en-US" w:bidi="ar-SA"/>
              </w:rPr>
            </w:pPr>
            <w:r>
              <w:rPr>
                <w:rFonts w:eastAsia="Aptos" w:cs="Arial" w:ascii="Arial" w:hAnsi="Arial"/>
                <w:kern w:val="2"/>
                <w:sz w:val="22"/>
                <w:szCs w:val="22"/>
                <w:lang w:val="lt-LT" w:eastAsia="en-US" w:bidi="ar-SA"/>
              </w:rPr>
              <w:t>4)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trPr/>
        <w:tc>
          <w:tcPr>
            <w:tcW w:w="587" w:type="dxa"/>
            <w:tcBorders/>
          </w:tcPr>
          <w:p>
            <w:pPr>
              <w:pStyle w:val="Normal"/>
              <w:widowControl/>
              <w:suppressAutoHyphens w:val="true"/>
              <w:spacing w:lineRule="auto" w:line="240" w:before="0" w:after="0"/>
              <w:jc w:val="both"/>
              <w:rPr>
                <w:rFonts w:ascii="Arial" w:hAnsi="Arial"/>
                <w:sz w:val="22"/>
                <w:szCs w:val="22"/>
              </w:rPr>
            </w:pPr>
            <w:r>
              <w:rPr>
                <w:rFonts w:eastAsia="Calibri" w:cs="Times New Roman" w:ascii="Arial" w:hAnsi="Arial"/>
                <w:sz w:val="22"/>
                <w:szCs w:val="22"/>
                <w:lang w:val="lt-LT" w:eastAsia="en-US" w:bidi="ar-SA"/>
              </w:rPr>
              <w:t>3.</w:t>
            </w:r>
          </w:p>
        </w:tc>
        <w:tc>
          <w:tcPr>
            <w:tcW w:w="4791" w:type="dxa"/>
            <w:tcBorders/>
          </w:tcPr>
          <w:p>
            <w:pPr>
              <w:pStyle w:val="Normal"/>
              <w:widowControl/>
              <w:suppressAutoHyphens w:val="true"/>
              <w:spacing w:lineRule="auto" w:line="240" w:before="0" w:after="0"/>
              <w:jc w:val="both"/>
              <w:rPr>
                <w:rFonts w:ascii="Arial" w:hAnsi="Arial"/>
                <w:sz w:val="22"/>
                <w:szCs w:val="22"/>
              </w:rPr>
            </w:pPr>
            <w:r>
              <w:rPr>
                <w:rFonts w:eastAsia="Aptos" w:cs="Times New Roman" w:ascii="Arial" w:hAnsi="Arial"/>
                <w:bCs/>
                <w:color w:themeColor="text1" w:val="000000"/>
                <w:sz w:val="22"/>
                <w:szCs w:val="22"/>
                <w:lang w:val="lt-LT" w:eastAsia="en-US" w:bidi="ar-SA"/>
              </w:rPr>
              <w:t>Programuotojas (MS Power Platform arba lygiavertės technologijos)</w:t>
            </w:r>
          </w:p>
          <w:p>
            <w:pPr>
              <w:pStyle w:val="Normal"/>
              <w:widowControl/>
              <w:suppressAutoHyphens w:val="true"/>
              <w:spacing w:lineRule="auto" w:line="240" w:before="0" w:after="0"/>
              <w:jc w:val="both"/>
              <w:rPr>
                <w:rFonts w:ascii="Arial" w:hAnsi="Arial"/>
                <w:sz w:val="22"/>
                <w:szCs w:val="22"/>
              </w:rPr>
            </w:pPr>
            <w:r>
              <w:rPr>
                <w:rFonts w:eastAsia="Calibri" w:cs="Times New Roman" w:ascii="Arial" w:hAnsi="Arial"/>
                <w:sz w:val="22"/>
                <w:szCs w:val="22"/>
                <w:lang w:val="lt-LT" w:eastAsia="en-US" w:bidi="ar-SA"/>
              </w:rPr>
              <w:t xml:space="preserve">3.1. Turi turėti tarptautiniu mastu pripažįstamą </w:t>
            </w:r>
            <w:r>
              <w:rPr>
                <w:rFonts w:eastAsia="Aptos" w:cs="Times New Roman" w:ascii="Arial" w:hAnsi="Arial"/>
                <w:i/>
                <w:iCs/>
                <w:sz w:val="22"/>
                <w:szCs w:val="22"/>
                <w:lang w:val="lt-LT" w:eastAsia="en-US" w:bidi="ar-SA"/>
              </w:rPr>
              <w:t>Microsoft Power Platform</w:t>
            </w:r>
            <w:r>
              <w:rPr>
                <w:rFonts w:eastAsia="Aptos" w:cs="Times New Roman" w:ascii="Arial" w:hAnsi="Arial"/>
                <w:sz w:val="22"/>
                <w:szCs w:val="22"/>
                <w:lang w:val="lt-LT" w:eastAsia="en-US" w:bidi="ar-SA"/>
              </w:rPr>
              <w:t xml:space="preserve"> programuotojo </w:t>
            </w:r>
            <w:r>
              <w:rPr>
                <w:rFonts w:eastAsia="Aptos" w:cs="Times New Roman" w:ascii="Arial" w:hAnsi="Arial"/>
                <w:bCs/>
                <w:color w:themeColor="text1" w:val="000000"/>
                <w:sz w:val="22"/>
                <w:szCs w:val="22"/>
                <w:lang w:val="lt-LT" w:eastAsia="en-US" w:bidi="ar-SA"/>
              </w:rPr>
              <w:t>arba lygiavertės technologijos</w:t>
            </w:r>
            <w:r>
              <w:rPr>
                <w:rFonts w:eastAsia="Aptos" w:cs="Times New Roman" w:ascii="Arial" w:hAnsi="Arial"/>
                <w:sz w:val="22"/>
                <w:szCs w:val="22"/>
                <w:lang w:val="lt-LT" w:eastAsia="en-US" w:bidi="ar-SA"/>
              </w:rPr>
              <w:t xml:space="preserve"> kvalifikaciją</w:t>
            </w:r>
          </w:p>
          <w:p>
            <w:pPr>
              <w:pStyle w:val="Normal"/>
              <w:widowControl/>
              <w:suppressAutoHyphens w:val="true"/>
              <w:spacing w:lineRule="auto" w:line="240" w:before="0" w:after="0"/>
              <w:jc w:val="both"/>
              <w:rPr>
                <w:rFonts w:ascii="Arial" w:hAnsi="Arial" w:eastAsia="Aptos" w:cs="Times New Roman"/>
                <w:bCs/>
                <w:color w:themeColor="text1" w:val="000000"/>
                <w:sz w:val="22"/>
                <w:szCs w:val="22"/>
                <w:lang w:val="lt-LT" w:eastAsia="en-US" w:bidi="ar-SA"/>
              </w:rPr>
            </w:pPr>
            <w:r>
              <w:rPr>
                <w:rFonts w:eastAsia="Aptos" w:cs="Times New Roman" w:ascii="Arial" w:hAnsi="Arial"/>
                <w:bCs/>
                <w:color w:themeColor="text1" w:val="000000"/>
                <w:sz w:val="22"/>
                <w:szCs w:val="22"/>
                <w:lang w:val="lt-LT" w:eastAsia="en-US" w:bidi="ar-SA"/>
              </w:rPr>
            </w:r>
          </w:p>
        </w:tc>
        <w:tc>
          <w:tcPr>
            <w:tcW w:w="5107" w:type="dxa"/>
            <w:tcBorders/>
          </w:tcPr>
          <w:p>
            <w:pPr>
              <w:pStyle w:val="Normal"/>
              <w:widowControl/>
              <w:suppressAutoHyphens w:val="true"/>
              <w:spacing w:lineRule="auto" w:line="240" w:before="0" w:after="0"/>
              <w:jc w:val="both"/>
              <w:rPr>
                <w:rFonts w:ascii="Arial" w:hAnsi="Arial"/>
                <w:sz w:val="22"/>
                <w:szCs w:val="22"/>
              </w:rPr>
            </w:pPr>
            <w:r>
              <w:rPr>
                <w:rFonts w:eastAsia="Calibri" w:cs="Times New Roman" w:ascii="Arial" w:hAnsi="Arial"/>
                <w:sz w:val="22"/>
                <w:szCs w:val="22"/>
                <w:lang w:val="lt-LT" w:eastAsia="en-US" w:bidi="ar-SA"/>
              </w:rPr>
              <w:t>Perkančiajai organizacijai paprašius teikia kvalifikaciją įrodantį galiojantį sertifikatą / dokumentą</w:t>
            </w:r>
          </w:p>
          <w:p>
            <w:pPr>
              <w:pStyle w:val="Normal"/>
              <w:widowControl/>
              <w:suppressAutoHyphens w:val="true"/>
              <w:spacing w:lineRule="auto" w:line="240" w:before="0" w:after="0"/>
              <w:jc w:val="both"/>
              <w:rPr>
                <w:rFonts w:ascii="Arial" w:hAnsi="Arial"/>
                <w:sz w:val="22"/>
                <w:szCs w:val="22"/>
              </w:rPr>
            </w:pPr>
            <w:r>
              <w:rPr>
                <w:rFonts w:ascii="Arial" w:hAnsi="Arial"/>
                <w:sz w:val="22"/>
                <w:szCs w:val="22"/>
              </w:rPr>
            </w:r>
          </w:p>
          <w:p>
            <w:pPr>
              <w:pStyle w:val="Normal"/>
              <w:widowControl/>
              <w:spacing w:lineRule="auto" w:line="240" w:before="0" w:after="0"/>
              <w:jc w:val="left"/>
              <w:rPr>
                <w:rFonts w:ascii="Arial" w:hAnsi="Arial" w:eastAsia="Aptos" w:cs=""/>
                <w:kern w:val="2"/>
                <w:sz w:val="22"/>
                <w:szCs w:val="22"/>
                <w:lang w:val="lt-LT" w:eastAsia="en-US" w:bidi="ar-SA"/>
              </w:rPr>
            </w:pPr>
            <w:r>
              <w:rPr>
                <w:rFonts w:eastAsia="Aptos" w:cs="Arial" w:ascii="Arial" w:hAnsi="Arial"/>
                <w:b/>
                <w:bCs/>
                <w:kern w:val="2"/>
                <w:sz w:val="22"/>
                <w:szCs w:val="22"/>
                <w:lang w:val="lt-LT" w:eastAsia="en-US" w:bidi="ar-SA"/>
              </w:rPr>
              <w:t>Pastabos:</w:t>
            </w:r>
          </w:p>
          <w:p>
            <w:pPr>
              <w:pStyle w:val="Normal"/>
              <w:widowControl/>
              <w:spacing w:lineRule="auto" w:line="240" w:before="0" w:after="0"/>
              <w:jc w:val="both"/>
              <w:rPr>
                <w:rFonts w:ascii="Arial" w:hAnsi="Arial" w:eastAsia="Aptos" w:cs=""/>
                <w:kern w:val="2"/>
                <w:sz w:val="22"/>
                <w:szCs w:val="22"/>
                <w:lang w:val="lt-LT" w:eastAsia="en-US" w:bidi="ar-SA"/>
              </w:rPr>
            </w:pPr>
            <w:r>
              <w:rPr>
                <w:rFonts w:eastAsia="Aptos" w:cs="Arial" w:ascii="Arial" w:hAnsi="Arial"/>
                <w:kern w:val="2"/>
                <w:sz w:val="22"/>
                <w:szCs w:val="22"/>
                <w:lang w:val="lt-LT" w:eastAsia="en-US" w:bidi="ar-SA"/>
              </w:rPr>
              <w:t xml:space="preserve">1) Kvazisubtiekėjas – specialistas, kurio kvalifikacija tiekėjas remiasi, ir kuris pasiūlymo teikimo metu dar nėra tiekėjo, ūkio subjekto, kurio pajėgumais Tiekėjas remiasi, darbuotojas, tačiau jį ketinama įdarbinti, jei pasiūlymas bus pripažintas laimėjusiu, turi būti išviešinami pasiūlymo formoje </w:t>
            </w:r>
            <w:r>
              <w:rPr>
                <w:rFonts w:eastAsia="Aptos" w:cs="Arial" w:ascii="Arial" w:hAnsi="Arial"/>
                <w:kern w:val="2"/>
                <w:sz w:val="22"/>
                <w:szCs w:val="22"/>
                <w:shd w:fill="C2D69B" w:val="clear"/>
                <w:lang w:val="lt-LT" w:eastAsia="en-US" w:bidi="ar-SA"/>
                <w14:ligatures w14:val="none"/>
              </w:rPr>
              <w:t>(Specialiųjų sąlygų 2 priedas „Pasiūlymo forma“).</w:t>
            </w:r>
          </w:p>
          <w:p>
            <w:pPr>
              <w:pStyle w:val="Normal"/>
              <w:widowControl/>
              <w:spacing w:lineRule="auto" w:line="240" w:before="0" w:after="120"/>
              <w:jc w:val="both"/>
              <w:rPr>
                <w:rFonts w:ascii="Arial" w:hAnsi="Arial" w:eastAsia="Aptos" w:cs=""/>
                <w:kern w:val="2"/>
                <w:sz w:val="22"/>
                <w:szCs w:val="22"/>
                <w:lang w:val="lt-LT" w:eastAsia="en-US" w:bidi="ar-SA"/>
              </w:rPr>
            </w:pPr>
            <w:r>
              <w:rPr>
                <w:rFonts w:eastAsia="Aptos" w:cs="Arial" w:ascii="Arial" w:hAnsi="Arial"/>
                <w:kern w:val="2"/>
                <w:sz w:val="22"/>
                <w:szCs w:val="22"/>
                <w:lang w:val="lt-LT" w:eastAsia="en-US" w:bidi="ar-SA"/>
              </w:rPr>
              <w:t>2) jeigu pasiūlymą teikia ūkio subjektų grupė – reikalavimą turi atitikti ūkio subjektų grupės nario (-ių) specialistai, atsižvelgiant į jų prisiimamus įsipareigojimus pirkimo sutarčiai vykdyti;</w:t>
            </w:r>
          </w:p>
          <w:p>
            <w:pPr>
              <w:pStyle w:val="Normal"/>
              <w:widowControl/>
              <w:spacing w:lineRule="auto" w:line="240" w:before="0" w:after="120"/>
              <w:jc w:val="both"/>
              <w:rPr>
                <w:rFonts w:ascii="Arial" w:hAnsi="Arial" w:eastAsia="Aptos" w:cs=""/>
                <w:kern w:val="2"/>
                <w:sz w:val="22"/>
                <w:szCs w:val="22"/>
                <w:lang w:val="lt-LT" w:eastAsia="en-US" w:bidi="ar-SA"/>
              </w:rPr>
            </w:pPr>
            <w:r>
              <w:rPr>
                <w:rFonts w:eastAsia="Aptos" w:cs="Arial" w:ascii="Arial" w:hAnsi="Arial"/>
                <w:kern w:val="2"/>
                <w:sz w:val="22"/>
                <w:szCs w:val="22"/>
                <w:lang w:val="lt-LT" w:eastAsia="en-US" w:bidi="ar-SA"/>
              </w:rPr>
              <w:t>3) Tiekėjas gali remtis kitų ūkio subjektų pajėgumais tik tuo atveju, jeigu tie subjektai (jų darbuotojai) patys vykdys tą pirkimo sutarties dalį, kuriai reikia jų turimų pajėgumų;</w:t>
            </w:r>
          </w:p>
          <w:p>
            <w:pPr>
              <w:pStyle w:val="Normal"/>
              <w:widowControl/>
              <w:spacing w:lineRule="auto" w:line="240" w:before="0" w:after="120"/>
              <w:jc w:val="both"/>
              <w:rPr>
                <w:rFonts w:ascii="Arial" w:hAnsi="Arial" w:eastAsia="Aptos" w:cs=""/>
                <w:kern w:val="2"/>
                <w:sz w:val="22"/>
                <w:szCs w:val="22"/>
                <w:lang w:val="lt-LT" w:eastAsia="en-US" w:bidi="ar-SA"/>
              </w:rPr>
            </w:pPr>
            <w:r>
              <w:rPr>
                <w:rFonts w:eastAsia="Aptos" w:cs="Arial" w:ascii="Arial" w:hAnsi="Arial"/>
                <w:kern w:val="2"/>
                <w:sz w:val="22"/>
                <w:szCs w:val="22"/>
                <w:lang w:val="lt-LT" w:eastAsia="en-US" w:bidi="ar-SA"/>
              </w:rPr>
              <w:t>4)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trPr/>
        <w:tc>
          <w:tcPr>
            <w:tcW w:w="587" w:type="dxa"/>
            <w:tcBorders/>
          </w:tcPr>
          <w:p>
            <w:pPr>
              <w:pStyle w:val="Normal"/>
              <w:widowControl/>
              <w:suppressAutoHyphens w:val="true"/>
              <w:spacing w:lineRule="auto" w:line="240" w:before="0" w:after="0"/>
              <w:jc w:val="both"/>
              <w:rPr>
                <w:rFonts w:ascii="Arial" w:hAnsi="Arial"/>
                <w:sz w:val="22"/>
                <w:szCs w:val="22"/>
              </w:rPr>
            </w:pPr>
            <w:r>
              <w:rPr>
                <w:rFonts w:eastAsia="Calibri" w:cs="Times New Roman" w:ascii="Arial" w:hAnsi="Arial"/>
                <w:sz w:val="22"/>
                <w:szCs w:val="22"/>
                <w:lang w:val="lt-LT" w:eastAsia="en-US" w:bidi="ar-SA"/>
              </w:rPr>
              <w:t>4.</w:t>
            </w:r>
          </w:p>
        </w:tc>
        <w:tc>
          <w:tcPr>
            <w:tcW w:w="4791" w:type="dxa"/>
            <w:tcBorders/>
          </w:tcPr>
          <w:p>
            <w:pPr>
              <w:pStyle w:val="Normal"/>
              <w:widowControl/>
              <w:tabs>
                <w:tab w:val="clear" w:pos="1296"/>
                <w:tab w:val="left" w:pos="510" w:leader="none"/>
              </w:tabs>
              <w:suppressAutoHyphens w:val="true"/>
              <w:spacing w:lineRule="auto" w:line="240" w:before="0" w:after="0"/>
              <w:jc w:val="both"/>
              <w:rPr>
                <w:rFonts w:ascii="Arial" w:hAnsi="Arial"/>
                <w:sz w:val="22"/>
                <w:szCs w:val="22"/>
              </w:rPr>
            </w:pPr>
            <w:r>
              <w:rPr>
                <w:rFonts w:eastAsia="Aptos" w:cs="Times New Roman" w:ascii="Arial" w:hAnsi="Arial"/>
                <w:bCs/>
                <w:color w:themeColor="text1" w:val="000000"/>
                <w:sz w:val="22"/>
                <w:szCs w:val="22"/>
                <w:lang w:val="lt-LT" w:eastAsia="en-US" w:bidi="ar-SA"/>
              </w:rPr>
              <w:t>Programuotojas (MS Azure arba lygiavertės technologijos)</w:t>
            </w:r>
          </w:p>
          <w:p>
            <w:pPr>
              <w:pStyle w:val="Normal"/>
              <w:widowControl/>
              <w:tabs>
                <w:tab w:val="clear" w:pos="1296"/>
                <w:tab w:val="left" w:pos="510" w:leader="none"/>
              </w:tabs>
              <w:suppressAutoHyphens w:val="true"/>
              <w:spacing w:lineRule="auto" w:line="240" w:before="0" w:after="0"/>
              <w:jc w:val="both"/>
              <w:rPr>
                <w:rFonts w:ascii="Arial" w:hAnsi="Arial"/>
                <w:sz w:val="22"/>
                <w:szCs w:val="22"/>
              </w:rPr>
            </w:pPr>
            <w:r>
              <w:rPr>
                <w:rFonts w:eastAsia="Aptos" w:cs="Times New Roman" w:ascii="Arial" w:hAnsi="Arial"/>
                <w:bCs/>
                <w:color w:themeColor="text1" w:val="000000"/>
                <w:sz w:val="22"/>
                <w:szCs w:val="22"/>
                <w:lang w:val="lt-LT" w:eastAsia="en-US" w:bidi="ar-SA"/>
              </w:rPr>
              <w:t xml:space="preserve">4.1. Turi turėti </w:t>
            </w:r>
            <w:r>
              <w:rPr>
                <w:rFonts w:eastAsia="Calibri" w:cs="Times New Roman" w:ascii="Arial" w:hAnsi="Arial"/>
                <w:sz w:val="22"/>
                <w:szCs w:val="22"/>
                <w:lang w:val="lt-LT" w:eastAsia="en-US" w:bidi="ar-SA"/>
              </w:rPr>
              <w:t>tarptautiniu mastu pripažįstamą Microsoft Certified: Azure Developer Associate</w:t>
            </w:r>
            <w:r>
              <w:rPr>
                <w:rFonts w:eastAsia="Calibri" w:cs="Times New Roman" w:ascii="Arial" w:hAnsi="Arial"/>
                <w:b/>
                <w:bCs/>
                <w:sz w:val="22"/>
                <w:szCs w:val="22"/>
                <w:lang w:val="lt-LT" w:eastAsia="en-US" w:bidi="ar-SA"/>
              </w:rPr>
              <w:t xml:space="preserve"> </w:t>
            </w:r>
            <w:r>
              <w:rPr>
                <w:rFonts w:eastAsia="Calibri" w:cs="Times New Roman" w:ascii="Arial" w:hAnsi="Arial"/>
                <w:sz w:val="22"/>
                <w:szCs w:val="22"/>
                <w:lang w:val="lt-LT" w:eastAsia="en-US" w:bidi="ar-SA"/>
              </w:rPr>
              <w:t xml:space="preserve">sprendimų </w:t>
            </w:r>
            <w:r>
              <w:rPr>
                <w:rFonts w:eastAsia="Aptos" w:cs="Times New Roman" w:ascii="Arial" w:hAnsi="Arial"/>
                <w:bCs/>
                <w:color w:themeColor="text1" w:val="000000"/>
                <w:sz w:val="22"/>
                <w:szCs w:val="22"/>
                <w:lang w:val="lt-LT" w:eastAsia="en-US" w:bidi="ar-SA"/>
              </w:rPr>
              <w:t>arba lygiavertės technologijos</w:t>
            </w:r>
            <w:r>
              <w:rPr>
                <w:rFonts w:eastAsia="Calibri" w:cs="Times New Roman" w:ascii="Arial" w:hAnsi="Arial"/>
                <w:sz w:val="22"/>
                <w:szCs w:val="22"/>
                <w:lang w:val="lt-LT" w:eastAsia="en-US" w:bidi="ar-SA"/>
              </w:rPr>
              <w:t xml:space="preserve"> kvalifikaciją</w:t>
            </w:r>
          </w:p>
        </w:tc>
        <w:tc>
          <w:tcPr>
            <w:tcW w:w="5107" w:type="dxa"/>
            <w:tcBorders/>
          </w:tcPr>
          <w:p>
            <w:pPr>
              <w:pStyle w:val="Normal"/>
              <w:widowControl/>
              <w:tabs>
                <w:tab w:val="clear" w:pos="1296"/>
                <w:tab w:val="left" w:pos="457" w:leader="none"/>
              </w:tabs>
              <w:suppressAutoHyphens w:val="true"/>
              <w:spacing w:lineRule="auto" w:line="240" w:before="0" w:after="200"/>
              <w:contextualSpacing/>
              <w:jc w:val="both"/>
              <w:rPr>
                <w:rFonts w:ascii="Arial" w:hAnsi="Arial"/>
                <w:sz w:val="22"/>
                <w:szCs w:val="22"/>
              </w:rPr>
            </w:pPr>
            <w:r>
              <w:rPr>
                <w:rFonts w:eastAsia="Calibri" w:cs="Times New Roman" w:ascii="Arial" w:hAnsi="Arial"/>
                <w:sz w:val="22"/>
                <w:szCs w:val="22"/>
                <w:lang w:val="lt-LT" w:eastAsia="en-US" w:bidi="ar-SA"/>
              </w:rPr>
              <w:t>Perkančiajai organizacijai paprašius teikia kvalifikaciją įrodantį galiojantį sertifikatą / dokumentą</w:t>
            </w:r>
          </w:p>
          <w:p>
            <w:pPr>
              <w:pStyle w:val="Normal"/>
              <w:widowControl/>
              <w:tabs>
                <w:tab w:val="clear" w:pos="1296"/>
                <w:tab w:val="left" w:pos="457" w:leader="none"/>
              </w:tabs>
              <w:suppressAutoHyphens w:val="true"/>
              <w:spacing w:lineRule="auto" w:line="240" w:before="0" w:after="200"/>
              <w:contextualSpacing/>
              <w:jc w:val="both"/>
              <w:rPr>
                <w:rFonts w:ascii="Arial" w:hAnsi="Arial"/>
                <w:sz w:val="22"/>
                <w:szCs w:val="22"/>
              </w:rPr>
            </w:pPr>
            <w:r>
              <w:rPr>
                <w:rFonts w:ascii="Arial" w:hAnsi="Arial"/>
                <w:sz w:val="22"/>
                <w:szCs w:val="22"/>
              </w:rPr>
            </w:r>
          </w:p>
          <w:p>
            <w:pPr>
              <w:pStyle w:val="Normal"/>
              <w:widowControl/>
              <w:spacing w:lineRule="auto" w:line="240" w:before="0" w:after="0"/>
              <w:jc w:val="left"/>
              <w:rPr>
                <w:rFonts w:ascii="Arial" w:hAnsi="Arial" w:eastAsia="Aptos" w:cs=""/>
                <w:kern w:val="2"/>
                <w:sz w:val="22"/>
                <w:szCs w:val="22"/>
                <w:lang w:val="lt-LT" w:eastAsia="en-US" w:bidi="ar-SA"/>
              </w:rPr>
            </w:pPr>
            <w:r>
              <w:rPr>
                <w:rFonts w:eastAsia="Aptos" w:cs="Arial" w:ascii="Arial" w:hAnsi="Arial"/>
                <w:b/>
                <w:bCs/>
                <w:kern w:val="2"/>
                <w:sz w:val="22"/>
                <w:szCs w:val="22"/>
                <w:lang w:val="lt-LT" w:eastAsia="en-US" w:bidi="ar-SA"/>
              </w:rPr>
              <w:t>Pastabos:</w:t>
            </w:r>
          </w:p>
          <w:p>
            <w:pPr>
              <w:pStyle w:val="Normal"/>
              <w:widowControl/>
              <w:spacing w:lineRule="auto" w:line="240" w:before="0" w:after="0"/>
              <w:jc w:val="both"/>
              <w:rPr>
                <w:rFonts w:ascii="Arial" w:hAnsi="Arial" w:eastAsia="Aptos" w:cs=""/>
                <w:kern w:val="2"/>
                <w:sz w:val="22"/>
                <w:szCs w:val="22"/>
                <w:lang w:val="lt-LT" w:eastAsia="en-US" w:bidi="ar-SA"/>
              </w:rPr>
            </w:pPr>
            <w:r>
              <w:rPr>
                <w:rFonts w:eastAsia="Aptos" w:cs="Arial" w:ascii="Arial" w:hAnsi="Arial"/>
                <w:kern w:val="2"/>
                <w:sz w:val="22"/>
                <w:szCs w:val="22"/>
                <w:lang w:val="lt-LT" w:eastAsia="en-US" w:bidi="ar-SA"/>
              </w:rPr>
              <w:t xml:space="preserve">1) Kvazisubtiekėjas – specialistas, kurio kvalifikacija tiekėjas remiasi, ir kuris pasiūlymo teikimo metu dar nėra tiekėjo, ūkio subjekto, kurio pajėgumais Tiekėjas remiasi, darbuotojas, tačiau jį ketinama įdarbinti, jei pasiūlymas bus pripažintas laimėjusiu, turi būti išviešinami pasiūlymo formoje </w:t>
            </w:r>
            <w:r>
              <w:rPr>
                <w:rFonts w:eastAsia="Aptos" w:cs="Arial" w:ascii="Arial" w:hAnsi="Arial"/>
                <w:kern w:val="2"/>
                <w:sz w:val="22"/>
                <w:szCs w:val="22"/>
                <w:shd w:fill="C2D69B" w:val="clear"/>
                <w:lang w:val="lt-LT" w:eastAsia="en-US" w:bidi="ar-SA"/>
                <w14:ligatures w14:val="none"/>
              </w:rPr>
              <w:t>(Specialiųjų sąlygų 2 priedas „Pasiūlymo forma“).</w:t>
            </w:r>
          </w:p>
          <w:p>
            <w:pPr>
              <w:pStyle w:val="Normal"/>
              <w:widowControl/>
              <w:spacing w:lineRule="auto" w:line="240" w:before="0" w:after="120"/>
              <w:jc w:val="both"/>
              <w:rPr>
                <w:rFonts w:ascii="Arial" w:hAnsi="Arial" w:eastAsia="Aptos" w:cs=""/>
                <w:kern w:val="2"/>
                <w:sz w:val="22"/>
                <w:szCs w:val="22"/>
                <w:lang w:val="lt-LT" w:eastAsia="en-US" w:bidi="ar-SA"/>
              </w:rPr>
            </w:pPr>
            <w:r>
              <w:rPr>
                <w:rFonts w:eastAsia="Aptos" w:cs="Arial" w:ascii="Arial" w:hAnsi="Arial"/>
                <w:kern w:val="2"/>
                <w:sz w:val="22"/>
                <w:szCs w:val="22"/>
                <w:lang w:val="lt-LT" w:eastAsia="en-US" w:bidi="ar-SA"/>
              </w:rPr>
              <w:t>2) jeigu pasiūlymą teikia ūkio subjektų grupė – reikalavimą turi atitikti ūkio subjektų grupės nario (-ių) specialistai, atsižvelgiant į jų prisiimamus įsipareigojimus pirkimo sutarčiai vykdyti;</w:t>
            </w:r>
          </w:p>
          <w:p>
            <w:pPr>
              <w:pStyle w:val="Normal"/>
              <w:widowControl/>
              <w:spacing w:lineRule="auto" w:line="240" w:before="0" w:after="120"/>
              <w:jc w:val="both"/>
              <w:rPr>
                <w:rFonts w:ascii="Arial" w:hAnsi="Arial" w:eastAsia="Aptos" w:cs=""/>
                <w:kern w:val="2"/>
                <w:sz w:val="22"/>
                <w:szCs w:val="22"/>
                <w:lang w:val="lt-LT" w:eastAsia="en-US" w:bidi="ar-SA"/>
              </w:rPr>
            </w:pPr>
            <w:r>
              <w:rPr>
                <w:rFonts w:eastAsia="Aptos" w:cs="Arial" w:ascii="Arial" w:hAnsi="Arial"/>
                <w:kern w:val="2"/>
                <w:sz w:val="22"/>
                <w:szCs w:val="22"/>
                <w:lang w:val="lt-LT" w:eastAsia="en-US" w:bidi="ar-SA"/>
              </w:rPr>
              <w:t>3) Tiekėjas gali remtis kitų ūkio subjektų pajėgumais tik tuo atveju, jeigu tie subjektai (jų darbuotojai) patys vykdys tą pirkimo sutarties dalį, kuriai reikia jų turimų pajėgumų;</w:t>
            </w:r>
          </w:p>
          <w:p>
            <w:pPr>
              <w:pStyle w:val="Normal"/>
              <w:widowControl/>
              <w:spacing w:lineRule="auto" w:line="240" w:before="0" w:after="120"/>
              <w:jc w:val="both"/>
              <w:rPr>
                <w:rFonts w:ascii="Arial" w:hAnsi="Arial" w:eastAsia="Aptos" w:cs=""/>
                <w:kern w:val="2"/>
                <w:sz w:val="22"/>
                <w:szCs w:val="22"/>
                <w:lang w:val="lt-LT" w:eastAsia="en-US" w:bidi="ar-SA"/>
              </w:rPr>
            </w:pPr>
            <w:r>
              <w:rPr>
                <w:rFonts w:eastAsia="Aptos" w:cs="Arial" w:ascii="Arial" w:hAnsi="Arial"/>
                <w:kern w:val="2"/>
                <w:sz w:val="22"/>
                <w:szCs w:val="22"/>
                <w:lang w:val="lt-LT" w:eastAsia="en-US" w:bidi="ar-SA"/>
              </w:rPr>
              <w:t>4)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trPr>
          <w:trHeight w:val="2532" w:hRule="atLeast"/>
        </w:trPr>
        <w:tc>
          <w:tcPr>
            <w:tcW w:w="587" w:type="dxa"/>
            <w:tcBorders/>
          </w:tcPr>
          <w:p>
            <w:pPr>
              <w:pStyle w:val="Normal"/>
              <w:widowControl/>
              <w:suppressAutoHyphens w:val="true"/>
              <w:spacing w:lineRule="auto" w:line="240" w:before="0" w:after="0"/>
              <w:jc w:val="both"/>
              <w:rPr>
                <w:rFonts w:ascii="Arial" w:hAnsi="Arial"/>
                <w:sz w:val="22"/>
                <w:szCs w:val="22"/>
              </w:rPr>
            </w:pPr>
            <w:r>
              <w:rPr>
                <w:rFonts w:eastAsia="Calibri" w:cs="Times New Roman" w:ascii="Arial" w:hAnsi="Arial"/>
                <w:sz w:val="22"/>
                <w:szCs w:val="22"/>
                <w:lang w:val="lt-LT" w:eastAsia="en-US" w:bidi="ar-SA"/>
              </w:rPr>
              <w:t>5.</w:t>
            </w:r>
          </w:p>
        </w:tc>
        <w:tc>
          <w:tcPr>
            <w:tcW w:w="4791" w:type="dxa"/>
            <w:tcBorders/>
          </w:tcPr>
          <w:p>
            <w:pPr>
              <w:pStyle w:val="Normal"/>
              <w:widowControl/>
              <w:suppressAutoHyphens w:val="true"/>
              <w:spacing w:lineRule="auto" w:line="240" w:before="0" w:after="0"/>
              <w:jc w:val="both"/>
              <w:rPr>
                <w:rFonts w:ascii="Arial" w:hAnsi="Arial"/>
                <w:sz w:val="22"/>
                <w:szCs w:val="22"/>
              </w:rPr>
            </w:pPr>
            <w:r>
              <w:rPr>
                <w:rFonts w:eastAsia="Calibri" w:cs="Times New Roman" w:ascii="Arial" w:hAnsi="Arial"/>
                <w:sz w:val="22"/>
                <w:szCs w:val="22"/>
                <w:lang w:val="lt-LT" w:eastAsia="en-US" w:bidi="ar-SA"/>
              </w:rPr>
              <w:t>Tiekėjas turi būti įsidiegęs informacijos saugos valdymo sistemą, atitinkančią ISO 27001 arba lygiaverčio standarto reikalavimus.</w:t>
            </w:r>
          </w:p>
          <w:p>
            <w:pPr>
              <w:pStyle w:val="Normal"/>
              <w:widowControl/>
              <w:suppressAutoHyphens w:val="true"/>
              <w:spacing w:lineRule="auto" w:line="240" w:before="0" w:after="0"/>
              <w:jc w:val="both"/>
              <w:rPr>
                <w:rFonts w:ascii="Arial" w:hAnsi="Arial"/>
                <w:sz w:val="22"/>
                <w:szCs w:val="22"/>
              </w:rPr>
            </w:pPr>
            <w:r>
              <w:rPr>
                <w:rFonts w:eastAsia="Calibri" w:cs="Times New Roman" w:ascii="Arial" w:hAnsi="Arial"/>
                <w:sz w:val="22"/>
                <w:szCs w:val="22"/>
                <w:lang w:val="lt-LT" w:eastAsia="en-US" w:bidi="ar-SA"/>
              </w:rPr>
              <w:t>Sertifikavimo apimtyje turi būti automatizavimo sistemų projektavimas, gamyba , priežiūra ir tiekimas.</w:t>
            </w:r>
          </w:p>
          <w:p>
            <w:pPr>
              <w:pStyle w:val="Normal"/>
              <w:widowControl/>
              <w:suppressAutoHyphens w:val="true"/>
              <w:spacing w:lineRule="auto" w:line="240" w:before="0" w:after="0"/>
              <w:jc w:val="both"/>
              <w:rPr>
                <w:rFonts w:ascii="Arial" w:hAnsi="Arial" w:eastAsia="Aptos" w:cs="Times New Roman"/>
                <w:bCs/>
                <w:color w:themeColor="text1" w:val="000000"/>
                <w:sz w:val="22"/>
                <w:szCs w:val="22"/>
                <w:lang w:val="lt-LT" w:eastAsia="en-US" w:bidi="ar-SA"/>
              </w:rPr>
            </w:pPr>
            <w:r>
              <w:rPr>
                <w:rFonts w:eastAsia="Aptos" w:cs="Times New Roman" w:ascii="Arial" w:hAnsi="Arial"/>
                <w:bCs/>
                <w:color w:themeColor="text1" w:val="000000"/>
                <w:sz w:val="22"/>
                <w:szCs w:val="22"/>
                <w:lang w:val="lt-LT" w:eastAsia="en-US" w:bidi="ar-SA"/>
              </w:rPr>
            </w:r>
          </w:p>
        </w:tc>
        <w:tc>
          <w:tcPr>
            <w:tcW w:w="5107" w:type="dxa"/>
            <w:tcBorders/>
          </w:tcPr>
          <w:p>
            <w:pPr>
              <w:pStyle w:val="Normal"/>
              <w:widowControl/>
              <w:suppressAutoHyphens w:val="true"/>
              <w:spacing w:lineRule="auto" w:line="240" w:before="0" w:after="0"/>
              <w:jc w:val="both"/>
              <w:rPr>
                <w:rFonts w:ascii="Arial" w:hAnsi="Arial"/>
                <w:sz w:val="22"/>
                <w:szCs w:val="22"/>
              </w:rPr>
            </w:pPr>
            <w:r>
              <w:rPr>
                <w:rFonts w:eastAsia="Calibri" w:cs="Times New Roman" w:ascii="Arial" w:hAnsi="Arial"/>
                <w:sz w:val="22"/>
                <w:szCs w:val="22"/>
                <w:lang w:val="lt-LT" w:eastAsia="en-US" w:bidi="ar-SA"/>
              </w:rPr>
              <w:t>Tiekėjas pateikia kompetentingos institucijos išduotą galiojantį standarto ISO 27001 arba lygiaverčio standarto atitikties sertifikatą.</w:t>
            </w:r>
          </w:p>
          <w:p>
            <w:pPr>
              <w:pStyle w:val="Normal"/>
              <w:widowControl/>
              <w:suppressAutoHyphens w:val="true"/>
              <w:spacing w:lineRule="auto" w:line="240" w:before="0" w:after="0"/>
              <w:jc w:val="both"/>
              <w:rPr>
                <w:rFonts w:ascii="Arial" w:hAnsi="Arial" w:eastAsia="Calibri" w:cs="Times New Roman"/>
                <w:sz w:val="22"/>
                <w:szCs w:val="22"/>
                <w:lang w:val="lt-LT" w:eastAsia="en-US" w:bidi="ar-SA"/>
              </w:rPr>
            </w:pPr>
            <w:r>
              <w:rPr>
                <w:rFonts w:eastAsia="Calibri" w:cs="Times New Roman" w:ascii="Arial" w:hAnsi="Arial"/>
                <w:sz w:val="22"/>
                <w:szCs w:val="22"/>
                <w:lang w:val="lt-LT" w:eastAsia="en-US" w:bidi="ar-SA"/>
              </w:rPr>
            </w:r>
          </w:p>
          <w:p>
            <w:pPr>
              <w:pStyle w:val="Normal"/>
              <w:widowControl/>
              <w:suppressAutoHyphens w:val="true"/>
              <w:spacing w:lineRule="auto" w:line="240" w:before="0" w:after="0"/>
              <w:jc w:val="both"/>
              <w:rPr>
                <w:rFonts w:ascii="Arial" w:hAnsi="Arial"/>
                <w:sz w:val="22"/>
                <w:szCs w:val="22"/>
              </w:rPr>
            </w:pPr>
            <w:r>
              <w:rPr>
                <w:rFonts w:eastAsia="Calibri" w:cs="Times New Roman" w:ascii="Arial" w:hAnsi="Arial"/>
                <w:sz w:val="22"/>
                <w:szCs w:val="22"/>
                <w:lang w:val="lt-LT" w:eastAsia="en-US" w:bidi="ar-SA"/>
              </w:rPr>
              <w:t>Pateikiamo „lygiaverčio“ dokumento lygiavertiškumą turi įrodyti Tiekėjas.</w:t>
            </w:r>
          </w:p>
          <w:p>
            <w:pPr>
              <w:pStyle w:val="Normal"/>
              <w:keepNext w:val="true"/>
              <w:widowControl w:val="false"/>
              <w:tabs>
                <w:tab w:val="clear" w:pos="1296"/>
                <w:tab w:val="left" w:pos="1080" w:leader="none"/>
              </w:tabs>
              <w:suppressAutoHyphens w:val="true"/>
              <w:spacing w:lineRule="auto" w:line="240" w:before="0" w:after="0"/>
              <w:ind w:right="-1"/>
              <w:jc w:val="both"/>
              <w:rPr>
                <w:rFonts w:ascii="Arial" w:hAnsi="Arial"/>
                <w:sz w:val="22"/>
                <w:szCs w:val="22"/>
              </w:rPr>
            </w:pPr>
            <w:r>
              <w:rPr>
                <w:rFonts w:eastAsia="Calibri" w:cs="Times New Roman" w:ascii="Arial" w:hAnsi="Arial"/>
                <w:sz w:val="22"/>
                <w:szCs w:val="22"/>
                <w:lang w:val="lt-LT" w:eastAsia="en-US" w:bidi="ar-SA"/>
              </w:rPr>
              <w:t>(Perkančiajai organizacijai paprašius teikiama skenuota dokumento kopija elektroninėmis priemonėmis).</w:t>
            </w:r>
          </w:p>
          <w:p>
            <w:pPr>
              <w:pStyle w:val="Normal"/>
              <w:widowControl/>
              <w:spacing w:lineRule="auto" w:line="240" w:before="0" w:after="0"/>
              <w:jc w:val="both"/>
              <w:rPr>
                <w:rFonts w:ascii="Arial" w:hAnsi="Arial" w:eastAsia="Aptos" w:cs="Arial"/>
                <w:kern w:val="2"/>
                <w:sz w:val="22"/>
                <w:szCs w:val="22"/>
                <w:lang w:val="lt-LT" w:eastAsia="en-US" w:bidi="ar-SA"/>
              </w:rPr>
            </w:pPr>
            <w:r>
              <w:rPr>
                <w:rFonts w:eastAsia="Aptos" w:cs="Arial" w:ascii="Arial" w:hAnsi="Arial"/>
                <w:kern w:val="2"/>
                <w:sz w:val="22"/>
                <w:szCs w:val="22"/>
                <w:lang w:val="lt-LT" w:eastAsia="en-US" w:bidi="ar-SA"/>
              </w:rPr>
            </w:r>
          </w:p>
          <w:p>
            <w:pPr>
              <w:pStyle w:val="Normal"/>
              <w:widowControl/>
              <w:spacing w:lineRule="auto" w:line="240" w:before="0" w:after="0"/>
              <w:jc w:val="both"/>
              <w:rPr>
                <w:rFonts w:ascii="Arial" w:hAnsi="Arial" w:eastAsia="Aptos" w:cs=""/>
                <w:kern w:val="2"/>
                <w:sz w:val="22"/>
                <w:szCs w:val="22"/>
                <w:lang w:val="lt-LT" w:eastAsia="en-US" w:bidi="ar-SA"/>
              </w:rPr>
            </w:pPr>
            <w:r>
              <w:rPr>
                <w:rFonts w:eastAsia="Aptos" w:cs="Arial" w:ascii="Arial" w:hAnsi="Arial"/>
                <w:kern w:val="2"/>
                <w:sz w:val="22"/>
                <w:szCs w:val="22"/>
                <w:u w:val="single"/>
                <w:lang w:val="lt-LT" w:eastAsia="en-US" w:bidi="ar-SA"/>
              </w:rPr>
              <w:t>Pastabos:</w:t>
            </w:r>
          </w:p>
          <w:p>
            <w:pPr>
              <w:pStyle w:val="ListParagraph"/>
              <w:widowControl/>
              <w:numPr>
                <w:ilvl w:val="0"/>
                <w:numId w:val="1"/>
              </w:numPr>
              <w:spacing w:lineRule="auto" w:line="240" w:before="0" w:after="0"/>
              <w:ind w:hanging="283" w:left="322"/>
              <w:contextualSpacing/>
              <w:jc w:val="both"/>
              <w:rPr>
                <w:rFonts w:ascii="Arial" w:hAnsi="Arial" w:eastAsia="Aptos" w:cs=""/>
                <w:kern w:val="2"/>
                <w:sz w:val="22"/>
                <w:szCs w:val="22"/>
                <w:lang w:val="lt-LT" w:eastAsia="en-US" w:bidi="ar-SA"/>
              </w:rPr>
            </w:pPr>
            <w:r>
              <w:rPr>
                <w:rFonts w:eastAsia="Aptos" w:cs="Arial" w:ascii="Arial" w:hAnsi="Arial"/>
                <w:kern w:val="2"/>
                <w:sz w:val="22"/>
                <w:szCs w:val="22"/>
                <w:lang w:val="lt-LT" w:eastAsia="en-US" w:bidi="ar-SA"/>
              </w:rPr>
              <w:t>Jeigu pasiūlymą teikia ūkio subjektų grupė – reikalavimą turi atitikti kiekvienas ūkio subjektų grupės narys (-iai), pagal jų prisiimamus įsipareigojimus pirkimo sutarčiai vykdyti.</w:t>
            </w:r>
          </w:p>
          <w:p>
            <w:pPr>
              <w:pStyle w:val="ListParagraph"/>
              <w:widowControl/>
              <w:numPr>
                <w:ilvl w:val="0"/>
                <w:numId w:val="1"/>
              </w:numPr>
              <w:spacing w:lineRule="auto" w:line="240" w:before="0" w:after="0"/>
              <w:ind w:hanging="283" w:left="322"/>
              <w:contextualSpacing/>
              <w:jc w:val="both"/>
              <w:rPr>
                <w:rFonts w:ascii="Arial" w:hAnsi="Arial" w:eastAsia="Aptos" w:cs=""/>
                <w:kern w:val="2"/>
                <w:sz w:val="22"/>
                <w:szCs w:val="22"/>
                <w:lang w:val="lt-LT" w:eastAsia="en-US" w:bidi="ar-SA"/>
              </w:rPr>
            </w:pPr>
            <w:r>
              <w:rPr>
                <w:rFonts w:eastAsia="Aptos" w:cs="Arial" w:ascii="Arial" w:hAnsi="Arial"/>
                <w:kern w:val="2"/>
                <w:sz w:val="22"/>
                <w:szCs w:val="22"/>
                <w:lang w:val="lt-LT" w:eastAsia="en-US" w:bidi="ar-SA"/>
              </w:rPr>
              <w:t>Tiekėjas gali remtis kitų ūkio subjektų pajėgumais tik tuomet, kai tie subjektai, kurių pajėgumais buvo pasiremta, patys tieks prekes, teiks paslaugas ar atliks darbus, kuriems reikia jų pajėgumų.</w:t>
            </w:r>
          </w:p>
        </w:tc>
      </w:tr>
    </w:tbl>
    <w:p>
      <w:pPr>
        <w:pStyle w:val="Normal"/>
        <w:spacing w:before="0" w:after="200"/>
        <w:rPr>
          <w:lang w:val="lt-LT"/>
        </w:rPr>
      </w:pPr>
      <w:r>
        <w:rPr>
          <w:lang w:val="lt-LT"/>
        </w:rPr>
      </w:r>
    </w:p>
    <w:sectPr>
      <w:headerReference w:type="even" r:id="rId2"/>
      <w:headerReference w:type="default" r:id="rId3"/>
      <w:headerReference w:type="first" r:id="rId4"/>
      <w:footerReference w:type="even" r:id="rId5"/>
      <w:footerReference w:type="default" r:id="rId6"/>
      <w:footerReference w:type="first" r:id="rId7"/>
      <w:type w:val="nextPage"/>
      <w:pgSz w:w="11906" w:h="16838"/>
      <w:pgMar w:left="567" w:right="567" w:gutter="0" w:header="1140" w:top="1197" w:footer="714" w:bottom="771"/>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Aptos">
    <w:charset w:val="00"/>
    <w:family w:val="roman"/>
    <w:pitch w:val="variable"/>
  </w:font>
  <w:font w:name="Aptos Display">
    <w:charset w:val="00"/>
    <w:family w:val="roman"/>
    <w:pitch w:val="variable"/>
  </w:font>
  <w:font w:name="Liberation Sans">
    <w:altName w:val="Arial"/>
    <w:charset w:val="00"/>
    <w:family w:val="swiss"/>
    <w:pitch w:val="variable"/>
  </w:font>
  <w:font w:name="Calibri">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233247369"/>
    </w:sdtPr>
    <w:sdtContent>
      <w:p>
        <w:pPr>
          <w:pStyle w:val="Footer"/>
          <w:jc w:val="center"/>
          <w:rPr>
            <w:rFonts w:ascii="Arial" w:hAnsi="Arial" w:cs="Arial"/>
          </w:rPr>
        </w:pPr>
        <w:r>
          <w:rPr>
            <w:rFonts w:cs="Arial" w:ascii="Arial" w:hAnsi="Arial"/>
          </w:rPr>
          <w:fldChar w:fldCharType="begin"/>
        </w:r>
        <w:r>
          <w:rPr>
            <w:rFonts w:cs="Arial" w:ascii="Arial" w:hAnsi="Arial"/>
          </w:rPr>
          <w:instrText xml:space="preserve"> PAGE </w:instrText>
        </w:r>
        <w:r>
          <w:rPr>
            <w:rFonts w:cs="Arial" w:ascii="Arial" w:hAnsi="Arial"/>
          </w:rPr>
          <w:fldChar w:fldCharType="separate"/>
        </w:r>
        <w:r>
          <w:rPr>
            <w:rFonts w:cs="Arial" w:ascii="Arial" w:hAnsi="Arial"/>
          </w:rPr>
          <w:t>3</w:t>
        </w:r>
        <w:r>
          <w:rPr>
            <w:rFonts w:cs="Arial" w:ascii="Arial" w:hAnsi="Arial"/>
          </w:rPr>
          <w:fldChar w:fldCharType="end"/>
        </w:r>
      </w:p>
    </w:sdtContent>
  </w:sdt>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233247369"/>
    </w:sdtPr>
    <w:sdtContent>
      <w:p>
        <w:pPr>
          <w:pStyle w:val="Footer"/>
          <w:jc w:val="center"/>
          <w:rPr>
            <w:rFonts w:ascii="Arial" w:hAnsi="Arial" w:cs="Arial"/>
          </w:rPr>
        </w:pPr>
        <w:r>
          <w:rPr>
            <w:rFonts w:cs="Arial" w:ascii="Arial" w:hAnsi="Arial"/>
          </w:rPr>
          <w:fldChar w:fldCharType="begin"/>
        </w:r>
        <w:r>
          <w:rPr>
            <w:rFonts w:cs="Arial" w:ascii="Arial" w:hAnsi="Arial"/>
          </w:rPr>
          <w:instrText xml:space="preserve"> PAGE </w:instrText>
        </w:r>
        <w:r>
          <w:rPr>
            <w:rFonts w:cs="Arial" w:ascii="Arial" w:hAnsi="Arial"/>
          </w:rPr>
          <w:fldChar w:fldCharType="separate"/>
        </w:r>
        <w:r>
          <w:rPr>
            <w:rFonts w:cs="Arial" w:ascii="Arial" w:hAnsi="Arial"/>
          </w:rPr>
          <w:t>1</w:t>
        </w:r>
        <w:r>
          <w:rPr>
            <w:rFonts w:cs="Arial" w:ascii="Arial" w:hAnsi="Arial"/>
          </w:rPr>
          <w:fldChar w:fldCharType="end"/>
        </w:r>
      </w:p>
    </w:sdtContent>
  </w:sdt>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rFonts w:ascii="Arial" w:hAnsi="Arial" w:cs="Arial"/>
      </w:rPr>
    </w:pPr>
    <w:r>
      <w:rPr>
        <w:rFonts w:cs="Arial" w:ascii="Arial" w:hAnsi="Arial"/>
      </w:rPr>
      <w:t xml:space="preserve">Specialiųjų skelbiamos apklausos sąlygų </w:t>
    </w:r>
    <w:r>
      <w:rPr>
        <w:rFonts w:cs="Arial" w:ascii="Arial" w:hAnsi="Arial"/>
      </w:rPr>
      <w:t xml:space="preserve">4 </w:t>
    </w:r>
    <w:r>
      <w:rPr>
        <w:rFonts w:cs="Arial" w:ascii="Arial" w:hAnsi="Arial"/>
      </w:rPr>
      <w:t>Priedas „Reikalavimai tiekėjų kvalifikacijai“</w:t>
    </w:r>
  </w:p>
  <w:p>
    <w:pPr>
      <w:pStyle w:val="Header"/>
      <w:ind w:left="10206"/>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20"/>
  <w:defaultTabStop w:val="1296"/>
  <w:autoHyphenation w:val="true"/>
  <w:hyphenationZone w:val="0"/>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lt-L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ptos" w:hAnsi="Aptos" w:eastAsia="Aptos" w:cs="" w:asciiTheme="minorHAnsi" w:cstheme="minorBidi" w:eastAsiaTheme="minorHAnsi" w:hAnsiTheme="minorHAnsi"/>
        <w:kern w:val="2"/>
        <w:sz w:val="24"/>
        <w:szCs w:val="24"/>
        <w:lang w:val="lt-LT" w:eastAsia="en-US" w:bidi="ar-SA"/>
        <w14:ligatures w14:val="standardContextual"/>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c257b4"/>
    <w:pPr>
      <w:widowControl/>
      <w:suppressAutoHyphens w:val="true"/>
      <w:bidi w:val="0"/>
      <w:spacing w:lineRule="auto" w:line="276" w:before="0" w:after="200"/>
      <w:jc w:val="left"/>
    </w:pPr>
    <w:rPr>
      <w:rFonts w:ascii="Aptos" w:hAnsi="Aptos" w:eastAsia="Aptos" w:cs=""/>
      <w:color w:val="auto"/>
      <w:kern w:val="0"/>
      <w:sz w:val="22"/>
      <w:szCs w:val="22"/>
      <w:lang w:val="lt-LT" w:eastAsia="en-US" w:bidi="ar-SA"/>
      <w14:ligatures w14:val="none"/>
    </w:rPr>
  </w:style>
  <w:style w:type="paragraph" w:styleId="Heading1">
    <w:name w:val="heading 1"/>
    <w:basedOn w:val="Normal"/>
    <w:next w:val="Normal"/>
    <w:link w:val="Heading1Char"/>
    <w:uiPriority w:val="9"/>
    <w:qFormat/>
    <w:rsid w:val="00343618"/>
    <w:pPr>
      <w:keepNext w:val="true"/>
      <w:keepLines/>
      <w:spacing w:lineRule="auto" w:line="276" w:before="360" w:after="80"/>
      <w:outlineLvl w:val="0"/>
    </w:pPr>
    <w:rPr>
      <w:rFonts w:ascii="Aptos Display" w:hAnsi="Aptos Display" w:eastAsia="" w:cs="" w:asciiTheme="majorHAnsi" w:cstheme="majorBidi" w:eastAsiaTheme="majorEastAsia" w:hAnsiTheme="majorHAnsi"/>
      <w:color w:themeColor="accent1" w:themeShade="bf" w:val="0F4761"/>
      <w:kern w:val="2"/>
      <w:sz w:val="40"/>
      <w:szCs w:val="40"/>
      <w14:ligatures w14:val="standardContextual"/>
    </w:rPr>
  </w:style>
  <w:style w:type="paragraph" w:styleId="Heading2">
    <w:name w:val="heading 2"/>
    <w:basedOn w:val="Normal"/>
    <w:next w:val="Normal"/>
    <w:link w:val="Heading2Char"/>
    <w:uiPriority w:val="9"/>
    <w:semiHidden/>
    <w:unhideWhenUsed/>
    <w:qFormat/>
    <w:rsid w:val="00343618"/>
    <w:pPr>
      <w:keepNext w:val="true"/>
      <w:keepLines/>
      <w:spacing w:lineRule="auto" w:line="276" w:before="160" w:after="80"/>
      <w:outlineLvl w:val="1"/>
    </w:pPr>
    <w:rPr>
      <w:rFonts w:ascii="Aptos Display" w:hAnsi="Aptos Display" w:eastAsia="" w:cs="" w:asciiTheme="majorHAnsi" w:cstheme="majorBidi" w:eastAsiaTheme="majorEastAsia" w:hAnsiTheme="majorHAnsi"/>
      <w:color w:themeColor="accent1" w:themeShade="bf" w:val="0F4761"/>
      <w:kern w:val="2"/>
      <w:sz w:val="32"/>
      <w:szCs w:val="32"/>
      <w14:ligatures w14:val="standardContextual"/>
    </w:rPr>
  </w:style>
  <w:style w:type="paragraph" w:styleId="Heading3">
    <w:name w:val="heading 3"/>
    <w:basedOn w:val="Normal"/>
    <w:next w:val="Normal"/>
    <w:link w:val="Heading3Char"/>
    <w:uiPriority w:val="9"/>
    <w:semiHidden/>
    <w:unhideWhenUsed/>
    <w:qFormat/>
    <w:rsid w:val="00343618"/>
    <w:pPr>
      <w:keepNext w:val="true"/>
      <w:keepLines/>
      <w:spacing w:lineRule="auto" w:line="276" w:before="160" w:after="80"/>
      <w:outlineLvl w:val="2"/>
    </w:pPr>
    <w:rPr>
      <w:rFonts w:eastAsia="" w:cs="" w:cstheme="majorBidi" w:eastAsiaTheme="majorEastAsia"/>
      <w:color w:themeColor="accent1" w:themeShade="bf" w:val="0F4761"/>
      <w:kern w:val="2"/>
      <w:sz w:val="28"/>
      <w:szCs w:val="28"/>
      <w14:ligatures w14:val="standardContextual"/>
    </w:rPr>
  </w:style>
  <w:style w:type="paragraph" w:styleId="Heading4">
    <w:name w:val="heading 4"/>
    <w:basedOn w:val="Normal"/>
    <w:next w:val="Normal"/>
    <w:link w:val="Heading4Char"/>
    <w:uiPriority w:val="9"/>
    <w:semiHidden/>
    <w:unhideWhenUsed/>
    <w:qFormat/>
    <w:rsid w:val="00343618"/>
    <w:pPr>
      <w:keepNext w:val="true"/>
      <w:keepLines/>
      <w:spacing w:lineRule="auto" w:line="276" w:before="80" w:after="40"/>
      <w:outlineLvl w:val="3"/>
    </w:pPr>
    <w:rPr>
      <w:rFonts w:eastAsia="" w:cs="" w:cstheme="majorBidi" w:eastAsiaTheme="majorEastAsia"/>
      <w:i/>
      <w:iCs/>
      <w:color w:themeColor="accent1" w:themeShade="bf" w:val="0F4761"/>
      <w:kern w:val="2"/>
      <w:sz w:val="24"/>
      <w:szCs w:val="24"/>
      <w14:ligatures w14:val="standardContextual"/>
    </w:rPr>
  </w:style>
  <w:style w:type="paragraph" w:styleId="Heading5">
    <w:name w:val="heading 5"/>
    <w:basedOn w:val="Normal"/>
    <w:next w:val="Normal"/>
    <w:link w:val="Heading5Char"/>
    <w:uiPriority w:val="9"/>
    <w:semiHidden/>
    <w:unhideWhenUsed/>
    <w:qFormat/>
    <w:rsid w:val="00343618"/>
    <w:pPr>
      <w:keepNext w:val="true"/>
      <w:keepLines/>
      <w:spacing w:lineRule="auto" w:line="276" w:before="80" w:after="40"/>
      <w:outlineLvl w:val="4"/>
    </w:pPr>
    <w:rPr>
      <w:rFonts w:eastAsia="" w:cs="" w:cstheme="majorBidi" w:eastAsiaTheme="majorEastAsia"/>
      <w:color w:themeColor="accent1" w:themeShade="bf" w:val="0F4761"/>
      <w:kern w:val="2"/>
      <w:sz w:val="24"/>
      <w:szCs w:val="24"/>
      <w14:ligatures w14:val="standardContextual"/>
    </w:rPr>
  </w:style>
  <w:style w:type="paragraph" w:styleId="Heading6">
    <w:name w:val="heading 6"/>
    <w:basedOn w:val="Normal"/>
    <w:next w:val="Normal"/>
    <w:link w:val="Heading6Char"/>
    <w:uiPriority w:val="9"/>
    <w:semiHidden/>
    <w:unhideWhenUsed/>
    <w:qFormat/>
    <w:rsid w:val="00343618"/>
    <w:pPr>
      <w:keepNext w:val="true"/>
      <w:keepLines/>
      <w:spacing w:lineRule="auto" w:line="276" w:before="40" w:after="0"/>
      <w:outlineLvl w:val="5"/>
    </w:pPr>
    <w:rPr>
      <w:rFonts w:eastAsia="" w:cs="" w:cstheme="majorBidi" w:eastAsiaTheme="majorEastAsia"/>
      <w:i/>
      <w:iCs/>
      <w:color w:themeColor="text1" w:themeTint="a6" w:val="595959"/>
      <w:kern w:val="2"/>
      <w:sz w:val="24"/>
      <w:szCs w:val="24"/>
      <w14:ligatures w14:val="standardContextual"/>
    </w:rPr>
  </w:style>
  <w:style w:type="paragraph" w:styleId="Heading7">
    <w:name w:val="heading 7"/>
    <w:basedOn w:val="Normal"/>
    <w:next w:val="Normal"/>
    <w:link w:val="Heading7Char"/>
    <w:uiPriority w:val="9"/>
    <w:semiHidden/>
    <w:unhideWhenUsed/>
    <w:qFormat/>
    <w:rsid w:val="00343618"/>
    <w:pPr>
      <w:keepNext w:val="true"/>
      <w:keepLines/>
      <w:spacing w:lineRule="auto" w:line="276" w:before="40" w:after="0"/>
      <w:outlineLvl w:val="6"/>
    </w:pPr>
    <w:rPr>
      <w:rFonts w:eastAsia="" w:cs="" w:cstheme="majorBidi" w:eastAsiaTheme="majorEastAsia"/>
      <w:color w:themeColor="text1" w:themeTint="a6" w:val="595959"/>
      <w:kern w:val="2"/>
      <w:sz w:val="24"/>
      <w:szCs w:val="24"/>
      <w14:ligatures w14:val="standardContextual"/>
    </w:rPr>
  </w:style>
  <w:style w:type="paragraph" w:styleId="Heading8">
    <w:name w:val="heading 8"/>
    <w:basedOn w:val="Normal"/>
    <w:next w:val="Normal"/>
    <w:link w:val="Heading8Char"/>
    <w:uiPriority w:val="9"/>
    <w:semiHidden/>
    <w:unhideWhenUsed/>
    <w:qFormat/>
    <w:rsid w:val="00343618"/>
    <w:pPr>
      <w:keepNext w:val="true"/>
      <w:keepLines/>
      <w:spacing w:lineRule="auto" w:line="276" w:before="0" w:after="0"/>
      <w:outlineLvl w:val="7"/>
    </w:pPr>
    <w:rPr>
      <w:rFonts w:eastAsia="" w:cs="" w:cstheme="majorBidi" w:eastAsiaTheme="majorEastAsia"/>
      <w:i/>
      <w:iCs/>
      <w:color w:themeColor="text1" w:themeTint="d8" w:val="272727"/>
      <w:kern w:val="2"/>
      <w:sz w:val="24"/>
      <w:szCs w:val="24"/>
      <w14:ligatures w14:val="standardContextual"/>
    </w:rPr>
  </w:style>
  <w:style w:type="paragraph" w:styleId="Heading9">
    <w:name w:val="heading 9"/>
    <w:basedOn w:val="Normal"/>
    <w:next w:val="Normal"/>
    <w:link w:val="Heading9Char"/>
    <w:uiPriority w:val="9"/>
    <w:semiHidden/>
    <w:unhideWhenUsed/>
    <w:qFormat/>
    <w:rsid w:val="00343618"/>
    <w:pPr>
      <w:keepNext w:val="true"/>
      <w:keepLines/>
      <w:spacing w:lineRule="auto" w:line="276" w:before="0" w:after="0"/>
      <w:outlineLvl w:val="8"/>
    </w:pPr>
    <w:rPr>
      <w:rFonts w:eastAsia="" w:cs="" w:cstheme="majorBidi" w:eastAsiaTheme="majorEastAsia"/>
      <w:color w:themeColor="text1" w:themeTint="d8" w:val="272727"/>
      <w:kern w:val="2"/>
      <w:sz w:val="24"/>
      <w:szCs w:val="24"/>
      <w14:ligatures w14:val="standardContextual"/>
    </w:rPr>
  </w:style>
  <w:style w:type="character" w:styleId="DefaultParagraphFont" w:default="1">
    <w:name w:val="Default Paragraph Font"/>
    <w:uiPriority w:val="1"/>
    <w:semiHidden/>
    <w:unhideWhenUsed/>
    <w:qFormat/>
    <w:rPr/>
  </w:style>
  <w:style w:type="character" w:styleId="Heading1Char" w:customStyle="1">
    <w:name w:val="Heading 1 Char"/>
    <w:basedOn w:val="DefaultParagraphFont"/>
    <w:uiPriority w:val="9"/>
    <w:qFormat/>
    <w:rsid w:val="00343618"/>
    <w:rPr>
      <w:rFonts w:ascii="Aptos Display" w:hAnsi="Aptos Display" w:eastAsia="" w:cs="" w:asciiTheme="majorHAnsi" w:cstheme="majorBidi" w:eastAsiaTheme="majorEastAsia" w:hAnsiTheme="majorHAnsi"/>
      <w:color w:themeColor="accent1" w:themeShade="bf" w:val="0F4761"/>
      <w:sz w:val="40"/>
      <w:szCs w:val="40"/>
    </w:rPr>
  </w:style>
  <w:style w:type="character" w:styleId="Heading2Char" w:customStyle="1">
    <w:name w:val="Heading 2 Char"/>
    <w:basedOn w:val="DefaultParagraphFont"/>
    <w:uiPriority w:val="9"/>
    <w:semiHidden/>
    <w:qFormat/>
    <w:rsid w:val="00343618"/>
    <w:rPr>
      <w:rFonts w:ascii="Aptos Display" w:hAnsi="Aptos Display" w:eastAsia="" w:cs="" w:asciiTheme="majorHAnsi" w:cstheme="majorBidi" w:eastAsiaTheme="majorEastAsia" w:hAnsiTheme="majorHAnsi"/>
      <w:color w:themeColor="accent1" w:themeShade="bf" w:val="0F4761"/>
      <w:sz w:val="32"/>
      <w:szCs w:val="32"/>
    </w:rPr>
  </w:style>
  <w:style w:type="character" w:styleId="Heading3Char" w:customStyle="1">
    <w:name w:val="Heading 3 Char"/>
    <w:basedOn w:val="DefaultParagraphFont"/>
    <w:uiPriority w:val="9"/>
    <w:semiHidden/>
    <w:qFormat/>
    <w:rsid w:val="00343618"/>
    <w:rPr>
      <w:rFonts w:eastAsia="" w:cs="" w:cstheme="majorBidi" w:eastAsiaTheme="majorEastAsia"/>
      <w:color w:themeColor="accent1" w:themeShade="bf" w:val="0F4761"/>
      <w:sz w:val="28"/>
      <w:szCs w:val="28"/>
    </w:rPr>
  </w:style>
  <w:style w:type="character" w:styleId="Heading4Char" w:customStyle="1">
    <w:name w:val="Heading 4 Char"/>
    <w:basedOn w:val="DefaultParagraphFont"/>
    <w:uiPriority w:val="9"/>
    <w:semiHidden/>
    <w:qFormat/>
    <w:rsid w:val="00343618"/>
    <w:rPr>
      <w:rFonts w:eastAsia="" w:cs="" w:cstheme="majorBidi" w:eastAsiaTheme="majorEastAsia"/>
      <w:i/>
      <w:iCs/>
      <w:color w:themeColor="accent1" w:themeShade="bf" w:val="0F4761"/>
    </w:rPr>
  </w:style>
  <w:style w:type="character" w:styleId="Heading5Char" w:customStyle="1">
    <w:name w:val="Heading 5 Char"/>
    <w:basedOn w:val="DefaultParagraphFont"/>
    <w:uiPriority w:val="9"/>
    <w:semiHidden/>
    <w:qFormat/>
    <w:rsid w:val="00343618"/>
    <w:rPr>
      <w:rFonts w:eastAsia="" w:cs="" w:cstheme="majorBidi" w:eastAsiaTheme="majorEastAsia"/>
      <w:color w:themeColor="accent1" w:themeShade="bf" w:val="0F4761"/>
    </w:rPr>
  </w:style>
  <w:style w:type="character" w:styleId="Heading6Char" w:customStyle="1">
    <w:name w:val="Heading 6 Char"/>
    <w:basedOn w:val="DefaultParagraphFont"/>
    <w:uiPriority w:val="9"/>
    <w:semiHidden/>
    <w:qFormat/>
    <w:rsid w:val="00343618"/>
    <w:rPr>
      <w:rFonts w:eastAsia="" w:cs="" w:cstheme="majorBidi" w:eastAsiaTheme="majorEastAsia"/>
      <w:i/>
      <w:iCs/>
      <w:color w:themeColor="text1" w:themeTint="a6" w:val="595959"/>
    </w:rPr>
  </w:style>
  <w:style w:type="character" w:styleId="Heading7Char" w:customStyle="1">
    <w:name w:val="Heading 7 Char"/>
    <w:basedOn w:val="DefaultParagraphFont"/>
    <w:uiPriority w:val="9"/>
    <w:semiHidden/>
    <w:qFormat/>
    <w:rsid w:val="00343618"/>
    <w:rPr>
      <w:rFonts w:eastAsia="" w:cs="" w:cstheme="majorBidi" w:eastAsiaTheme="majorEastAsia"/>
      <w:color w:themeColor="text1" w:themeTint="a6" w:val="595959"/>
    </w:rPr>
  </w:style>
  <w:style w:type="character" w:styleId="Heading8Char" w:customStyle="1">
    <w:name w:val="Heading 8 Char"/>
    <w:basedOn w:val="DefaultParagraphFont"/>
    <w:uiPriority w:val="9"/>
    <w:semiHidden/>
    <w:qFormat/>
    <w:rsid w:val="00343618"/>
    <w:rPr>
      <w:rFonts w:eastAsia="" w:cs="" w:cstheme="majorBidi" w:eastAsiaTheme="majorEastAsia"/>
      <w:i/>
      <w:iCs/>
      <w:color w:themeColor="text1" w:themeTint="d8" w:val="272727"/>
    </w:rPr>
  </w:style>
  <w:style w:type="character" w:styleId="Heading9Char" w:customStyle="1">
    <w:name w:val="Heading 9 Char"/>
    <w:basedOn w:val="DefaultParagraphFont"/>
    <w:uiPriority w:val="9"/>
    <w:semiHidden/>
    <w:qFormat/>
    <w:rsid w:val="00343618"/>
    <w:rPr>
      <w:rFonts w:eastAsia="" w:cs="" w:cstheme="majorBidi" w:eastAsiaTheme="majorEastAsia"/>
      <w:color w:themeColor="text1" w:themeTint="d8" w:val="272727"/>
    </w:rPr>
  </w:style>
  <w:style w:type="character" w:styleId="TitleChar" w:customStyle="1">
    <w:name w:val="Title Char"/>
    <w:basedOn w:val="DefaultParagraphFont"/>
    <w:uiPriority w:val="10"/>
    <w:qFormat/>
    <w:rsid w:val="00343618"/>
    <w:rPr>
      <w:rFonts w:ascii="Aptos Display" w:hAnsi="Aptos Display" w:eastAsia="" w:cs="" w:asciiTheme="majorHAnsi" w:cstheme="majorBidi" w:eastAsiaTheme="majorEastAsia" w:hAnsiTheme="majorHAnsi"/>
      <w:spacing w:val="-10"/>
      <w:kern w:val="2"/>
      <w:sz w:val="56"/>
      <w:szCs w:val="56"/>
    </w:rPr>
  </w:style>
  <w:style w:type="character" w:styleId="SubtitleChar" w:customStyle="1">
    <w:name w:val="Subtitle Char"/>
    <w:basedOn w:val="DefaultParagraphFont"/>
    <w:uiPriority w:val="11"/>
    <w:qFormat/>
    <w:rsid w:val="00343618"/>
    <w:rPr>
      <w:rFonts w:eastAsia="" w:cs="" w:cstheme="majorBidi" w:eastAsiaTheme="majorEastAsia"/>
      <w:color w:themeColor="text1" w:themeTint="a6" w:val="595959"/>
      <w:spacing w:val="15"/>
      <w:sz w:val="28"/>
      <w:szCs w:val="28"/>
    </w:rPr>
  </w:style>
  <w:style w:type="character" w:styleId="QuoteChar" w:customStyle="1">
    <w:name w:val="Quote Char"/>
    <w:basedOn w:val="DefaultParagraphFont"/>
    <w:link w:val="Quote"/>
    <w:uiPriority w:val="29"/>
    <w:qFormat/>
    <w:rsid w:val="00343618"/>
    <w:rPr>
      <w:i/>
      <w:iCs/>
      <w:color w:themeColor="text1" w:themeTint="bf" w:val="404040"/>
    </w:rPr>
  </w:style>
  <w:style w:type="character" w:styleId="IntenseEmphasis">
    <w:name w:val="Intense Emphasis"/>
    <w:basedOn w:val="DefaultParagraphFont"/>
    <w:uiPriority w:val="21"/>
    <w:qFormat/>
    <w:rsid w:val="00343618"/>
    <w:rPr>
      <w:i/>
      <w:iCs/>
      <w:color w:themeColor="accent1" w:themeShade="bf" w:val="0F4761"/>
    </w:rPr>
  </w:style>
  <w:style w:type="character" w:styleId="IntenseQuoteChar" w:customStyle="1">
    <w:name w:val="Intense Quote Char"/>
    <w:basedOn w:val="DefaultParagraphFont"/>
    <w:link w:val="IntenseQuote"/>
    <w:uiPriority w:val="30"/>
    <w:qFormat/>
    <w:rsid w:val="00343618"/>
    <w:rPr>
      <w:i/>
      <w:iCs/>
      <w:color w:themeColor="accent1" w:themeShade="bf" w:val="0F4761"/>
    </w:rPr>
  </w:style>
  <w:style w:type="character" w:styleId="IntenseReference">
    <w:name w:val="Intense Reference"/>
    <w:basedOn w:val="DefaultParagraphFont"/>
    <w:uiPriority w:val="32"/>
    <w:qFormat/>
    <w:rsid w:val="00343618"/>
    <w:rPr>
      <w:b/>
      <w:bCs/>
      <w:smallCaps/>
      <w:color w:themeColor="accent1" w:themeShade="bf" w:val="0F4761"/>
      <w:spacing w:val="5"/>
    </w:rPr>
  </w:style>
  <w:style w:type="character" w:styleId="HeaderChar" w:customStyle="1">
    <w:name w:val="Header Char"/>
    <w:basedOn w:val="DefaultParagraphFont"/>
    <w:uiPriority w:val="99"/>
    <w:qFormat/>
    <w:rsid w:val="00c257b4"/>
    <w:rPr>
      <w:kern w:val="0"/>
      <w:sz w:val="22"/>
      <w:szCs w:val="22"/>
      <w14:ligatures w14:val="none"/>
    </w:rPr>
  </w:style>
  <w:style w:type="character" w:styleId="FooterChar" w:customStyle="1">
    <w:name w:val="Footer Char"/>
    <w:basedOn w:val="DefaultParagraphFont"/>
    <w:uiPriority w:val="99"/>
    <w:qFormat/>
    <w:rsid w:val="00c257b4"/>
    <w:rPr>
      <w:kern w:val="0"/>
      <w:sz w:val="22"/>
      <w:szCs w:val="22"/>
      <w14:ligatures w14:val="none"/>
    </w:rPr>
  </w:style>
  <w:style w:type="character" w:styleId="ListParagraphChar" w:customStyle="1">
    <w:name w:val="List Paragraph Char"/>
    <w:basedOn w:val="DefaultParagraphFont"/>
    <w:link w:val="ListParagraph"/>
    <w:uiPriority w:val="34"/>
    <w:qFormat/>
    <w:locked/>
    <w:rsid w:val="00c257b4"/>
    <w:rPr/>
  </w:style>
  <w:style w:type="character" w:styleId="InternetLink">
    <w:name w:val="Internet Link"/>
    <w:qFormat/>
    <w:rPr>
      <w:color w:val="000080"/>
      <w:u w:val="single"/>
    </w:rPr>
  </w:style>
  <w:style w:type="paragraph" w:styleId="Antrat">
    <w:name w:val="Antraštė"/>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Rodykl">
    <w:name w:val="Rodyklė"/>
    <w:basedOn w:val="Normal"/>
    <w:qFormat/>
    <w:pPr>
      <w:suppressLineNumbers/>
    </w:pPr>
    <w:rPr>
      <w:rFonts w:cs="Lucida Sans"/>
    </w:rPr>
  </w:style>
  <w:style w:type="paragraph" w:styleId="Title">
    <w:name w:val="Title"/>
    <w:basedOn w:val="Normal"/>
    <w:next w:val="Normal"/>
    <w:link w:val="TitleChar"/>
    <w:uiPriority w:val="10"/>
    <w:qFormat/>
    <w:rsid w:val="00343618"/>
    <w:pPr>
      <w:spacing w:lineRule="auto" w:line="240" w:before="0" w:after="80"/>
      <w:contextualSpacing/>
    </w:pPr>
    <w:rPr>
      <w:rFonts w:ascii="Aptos Display" w:hAnsi="Aptos Display" w:eastAsia="" w:cs="" w:asciiTheme="majorHAnsi" w:cstheme="majorBidi" w:eastAsiaTheme="majorEastAsia" w:hAnsiTheme="majorHAnsi"/>
      <w:spacing w:val="-10"/>
      <w:kern w:val="2"/>
      <w:sz w:val="56"/>
      <w:szCs w:val="56"/>
      <w14:ligatures w14:val="standardContextual"/>
    </w:rPr>
  </w:style>
  <w:style w:type="paragraph" w:styleId="Subtitle">
    <w:name w:val="Subtitle"/>
    <w:basedOn w:val="Normal"/>
    <w:next w:val="Normal"/>
    <w:link w:val="SubtitleChar"/>
    <w:uiPriority w:val="11"/>
    <w:qFormat/>
    <w:rsid w:val="00343618"/>
    <w:pPr>
      <w:spacing w:lineRule="auto" w:line="276" w:before="0" w:after="160"/>
    </w:pPr>
    <w:rPr>
      <w:rFonts w:eastAsia="" w:cs="" w:cstheme="majorBidi" w:eastAsiaTheme="majorEastAsia"/>
      <w:color w:themeColor="text1" w:themeTint="a6" w:val="595959"/>
      <w:spacing w:val="15"/>
      <w:kern w:val="2"/>
      <w:sz w:val="28"/>
      <w:szCs w:val="28"/>
      <w14:ligatures w14:val="standardContextual"/>
    </w:rPr>
  </w:style>
  <w:style w:type="paragraph" w:styleId="Quote">
    <w:name w:val="Quote"/>
    <w:basedOn w:val="Normal"/>
    <w:next w:val="Normal"/>
    <w:link w:val="QuoteChar"/>
    <w:uiPriority w:val="29"/>
    <w:qFormat/>
    <w:rsid w:val="00343618"/>
    <w:pPr>
      <w:spacing w:lineRule="auto" w:line="276" w:before="160" w:after="160"/>
      <w:jc w:val="center"/>
    </w:pPr>
    <w:rPr>
      <w:i/>
      <w:iCs/>
      <w:color w:themeColor="text1" w:themeTint="bf" w:val="404040"/>
      <w:kern w:val="2"/>
      <w:sz w:val="24"/>
      <w:szCs w:val="24"/>
      <w14:ligatures w14:val="standardContextual"/>
    </w:rPr>
  </w:style>
  <w:style w:type="paragraph" w:styleId="ListParagraph">
    <w:name w:val="List Paragraph"/>
    <w:basedOn w:val="Normal"/>
    <w:link w:val="ListParagraphChar"/>
    <w:uiPriority w:val="34"/>
    <w:qFormat/>
    <w:rsid w:val="00343618"/>
    <w:pPr>
      <w:spacing w:lineRule="auto" w:line="276" w:before="0" w:after="160"/>
      <w:ind w:left="720"/>
      <w:contextualSpacing/>
    </w:pPr>
    <w:rPr>
      <w:kern w:val="2"/>
      <w:sz w:val="24"/>
      <w:szCs w:val="24"/>
      <w14:ligatures w14:val="standardContextual"/>
    </w:rPr>
  </w:style>
  <w:style w:type="paragraph" w:styleId="IntenseQuote">
    <w:name w:val="Intense Quote"/>
    <w:basedOn w:val="Normal"/>
    <w:next w:val="Normal"/>
    <w:link w:val="IntenseQuoteChar"/>
    <w:uiPriority w:val="30"/>
    <w:qFormat/>
    <w:rsid w:val="00343618"/>
    <w:pPr>
      <w:pBdr>
        <w:top w:val="single" w:sz="4" w:space="10" w:color="0F4761" w:themeColor="accent1" w:themeShade="bf"/>
        <w:bottom w:val="single" w:sz="4" w:space="10" w:color="0F4761" w:themeColor="accent1" w:themeShade="bf"/>
      </w:pBdr>
      <w:spacing w:lineRule="auto" w:line="276" w:before="360" w:after="360"/>
      <w:ind w:left="864" w:right="864"/>
      <w:jc w:val="center"/>
    </w:pPr>
    <w:rPr>
      <w:i/>
      <w:iCs/>
      <w:color w:themeColor="accent1" w:themeShade="bf" w:val="0F4761"/>
      <w:kern w:val="2"/>
      <w:sz w:val="24"/>
      <w:szCs w:val="24"/>
      <w14:ligatures w14:val="standardContextual"/>
    </w:rPr>
  </w:style>
  <w:style w:type="paragraph" w:styleId="HeaderandFooter">
    <w:name w:val="Header and Footer"/>
    <w:basedOn w:val="Normal"/>
    <w:qFormat/>
    <w:pPr/>
    <w:rPr/>
  </w:style>
  <w:style w:type="paragraph" w:styleId="Header">
    <w:name w:val="header"/>
    <w:basedOn w:val="Normal"/>
    <w:link w:val="HeaderChar"/>
    <w:uiPriority w:val="99"/>
    <w:unhideWhenUsed/>
    <w:rsid w:val="00c257b4"/>
    <w:pPr>
      <w:tabs>
        <w:tab w:val="clear" w:pos="1296"/>
        <w:tab w:val="center" w:pos="4819" w:leader="none"/>
        <w:tab w:val="right" w:pos="9638" w:leader="none"/>
      </w:tabs>
      <w:spacing w:lineRule="auto" w:line="240" w:before="0" w:after="0"/>
    </w:pPr>
    <w:rPr/>
  </w:style>
  <w:style w:type="paragraph" w:styleId="Footer">
    <w:name w:val="footer"/>
    <w:basedOn w:val="Normal"/>
    <w:link w:val="FooterChar"/>
    <w:uiPriority w:val="99"/>
    <w:unhideWhenUsed/>
    <w:rsid w:val="00c257b4"/>
    <w:pPr>
      <w:tabs>
        <w:tab w:val="clear" w:pos="1296"/>
        <w:tab w:val="center" w:pos="4819" w:leader="none"/>
        <w:tab w:val="right" w:pos="9638" w:leader="none"/>
      </w:tabs>
      <w:spacing w:lineRule="auto" w:line="240" w:before="0" w:after="0"/>
    </w:pPr>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table" w:customStyle="1" w:styleId="TableGrid1">
    <w:name w:val="Table Grid1"/>
    <w:basedOn w:val="TableNormal"/>
    <w:uiPriority w:val="39"/>
    <w:rsid w:val="00c257b4"/>
    <w:pPr>
      <w:spacing w:after="0" w:line="240" w:lineRule="auto"/>
    </w:pPr>
    <w:rPr>
      <w:lang w:val="en-US"/>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
    <w:name w:val="Table Grid"/>
    <w:basedOn w:val="TableNormal"/>
    <w:uiPriority w:val="39"/>
    <w:rsid w:val="00c257b4"/>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pitchFamily="0" charset="1"/>
        <a:ea typeface=""/>
        <a:cs typeface=""/>
      </a:majorFont>
      <a:minorFont>
        <a:latin typeface="Aptos" panose="0211000402020202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12700" cap="flat" cmpd="sng" algn="ctr">
          <a:prstDash val="solid"/>
          <a:miter lim="800000"/>
        </a:ln>
        <a:ln w="19050" cap="flat" cmpd="sng" algn="ctr">
          <a:prstDash val="solid"/>
          <a:miter lim="800000"/>
        </a:ln>
        <a:ln w="2540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256</TotalTime>
  <Application>LibreOffice/24.8.0.3$Windows_X86_64 LibreOffice_project/0bdf1299c94fe897b119f97f3c613e9dca6be583</Application>
  <AppVersion>15.0000</AppVersion>
  <Pages>3</Pages>
  <Words>950</Words>
  <Characters>6855</Characters>
  <CharactersWithSpaces>7769</CharactersWithSpaces>
  <Paragraphs>53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2026-01-27T14:23:00Z</dcterms:created>
  <dc:creator>Karolis Kašėta | VMU</dc:creator>
  <dc:description/>
  <dc:language>lt-LT</dc:language>
  <cp:lastModifiedBy/>
  <dcterms:modified xsi:type="dcterms:W3CDTF">2026-02-04T11:31:42Z</dcterms:modified>
  <cp:revision>30</cp:revision>
  <dc:subject/>
  <dc:title/>
</cp:coreProperties>
</file>

<file path=docProps/custom.xml><?xml version="1.0" encoding="utf-8"?>
<Properties xmlns="http://schemas.openxmlformats.org/officeDocument/2006/custom-properties" xmlns:vt="http://schemas.openxmlformats.org/officeDocument/2006/docPropsVTypes"/>
</file>